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7472" w14:textId="103B7691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  <w:b/>
        </w:rPr>
      </w:pPr>
      <w:r>
        <w:rPr>
          <w:rFonts w:ascii="Roboto" w:eastAsia="Roboto" w:hAnsi="Roboto" w:cs="Roboto"/>
          <w:b/>
          <w:sz w:val="23"/>
          <w:szCs w:val="23"/>
          <w:highlight w:val="white"/>
        </w:rPr>
        <w:t>Projeto de Lei n.º 172/</w:t>
      </w:r>
      <w:r>
        <w:rPr>
          <w:rFonts w:ascii="Roboto" w:eastAsia="Roboto" w:hAnsi="Roboto" w:cs="Roboto"/>
          <w:b/>
          <w:sz w:val="23"/>
          <w:szCs w:val="23"/>
          <w:highlight w:val="white"/>
        </w:rPr>
        <w:t>/XV/1.ª</w:t>
      </w:r>
    </w:p>
    <w:p w14:paraId="34CE07A4" w14:textId="77777777" w:rsidR="0066562D" w:rsidRDefault="0066562D">
      <w:pPr>
        <w:spacing w:before="240" w:after="160" w:line="312" w:lineRule="auto"/>
        <w:jc w:val="center"/>
        <w:rPr>
          <w:rFonts w:ascii="Calibri" w:eastAsia="Calibri" w:hAnsi="Calibri" w:cs="Calibri"/>
          <w:b/>
        </w:rPr>
      </w:pPr>
    </w:p>
    <w:p w14:paraId="5F07EA54" w14:textId="77777777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  <w:b/>
        </w:rPr>
      </w:pPr>
      <w:r>
        <w:rPr>
          <w:rFonts w:ascii="Roboto" w:eastAsia="Roboto" w:hAnsi="Roboto" w:cs="Roboto"/>
          <w:b/>
          <w:sz w:val="23"/>
          <w:szCs w:val="23"/>
          <w:highlight w:val="white"/>
        </w:rPr>
        <w:t>Altera o regime de incentivos para fixação de profissionais de saúde em áreas carenciadas, procedendo à alteração ao Decreto-Lei n.º 101/2015, de 4 de junho</w:t>
      </w:r>
    </w:p>
    <w:p w14:paraId="4DB58ADB" w14:textId="77777777" w:rsidR="0066562D" w:rsidRDefault="0066562D">
      <w:pPr>
        <w:spacing w:before="240" w:after="160" w:line="312" w:lineRule="auto"/>
        <w:jc w:val="center"/>
        <w:rPr>
          <w:rFonts w:ascii="Roboto" w:eastAsia="Roboto" w:hAnsi="Roboto" w:cs="Roboto"/>
          <w:b/>
          <w:sz w:val="23"/>
          <w:szCs w:val="23"/>
          <w:highlight w:val="white"/>
        </w:rPr>
      </w:pPr>
    </w:p>
    <w:p w14:paraId="489CD471" w14:textId="77777777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</w:rPr>
      </w:pPr>
      <w:r>
        <w:rPr>
          <w:rFonts w:ascii="Roboto" w:eastAsia="Roboto" w:hAnsi="Roboto" w:cs="Roboto"/>
          <w:b/>
          <w:sz w:val="23"/>
          <w:szCs w:val="23"/>
          <w:highlight w:val="white"/>
        </w:rPr>
        <w:t>Exposição de motivos</w:t>
      </w:r>
    </w:p>
    <w:p w14:paraId="438EC792" w14:textId="77777777" w:rsidR="0066562D" w:rsidRDefault="00DD7175">
      <w:pPr>
        <w:shd w:val="clear" w:color="auto" w:fill="FFFFFF"/>
        <w:spacing w:after="48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passado dia 8 de junho de 2022, no Hospital das Caldas da Rainha, ocorreu </w:t>
      </w:r>
      <w:r>
        <w:rPr>
          <w:rFonts w:ascii="Calibri" w:eastAsia="Calibri" w:hAnsi="Calibri" w:cs="Calibri"/>
          <w:sz w:val="24"/>
          <w:szCs w:val="24"/>
        </w:rPr>
        <w:t>o falecimento de um bebé por alegada falta de obstetras para assistir no parto.  Esta situação, objeto de averiguação pelas Inspeção-Geral das Atividades em Saúde, suscitou um compreensível alarme social por ser demonstrativa do estado das urgências médica</w:t>
      </w:r>
      <w:r>
        <w:rPr>
          <w:rFonts w:ascii="Calibri" w:eastAsia="Calibri" w:hAnsi="Calibri" w:cs="Calibri"/>
          <w:sz w:val="24"/>
          <w:szCs w:val="24"/>
        </w:rPr>
        <w:t>s e das falhas gritantes e estruturais para o bom funcionamento das equipas médicas.</w:t>
      </w:r>
    </w:p>
    <w:p w14:paraId="578B01AE" w14:textId="77777777" w:rsidR="0066562D" w:rsidRDefault="00DD7175">
      <w:pPr>
        <w:shd w:val="clear" w:color="auto" w:fill="FFFFFF"/>
        <w:spacing w:after="48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presidente do Conselho Regional do Sul da Ordem dos Médicos referiu que “</w:t>
      </w:r>
      <w:r>
        <w:rPr>
          <w:rFonts w:ascii="Calibri" w:eastAsia="Calibri" w:hAnsi="Calibri" w:cs="Calibri"/>
          <w:i/>
          <w:sz w:val="24"/>
          <w:szCs w:val="24"/>
        </w:rPr>
        <w:t>não se pode ter equipas desfalcadas e encerramentos de urgências sem consequências, e as consequ</w:t>
      </w:r>
      <w:r>
        <w:rPr>
          <w:rFonts w:ascii="Calibri" w:eastAsia="Calibri" w:hAnsi="Calibri" w:cs="Calibri"/>
          <w:i/>
          <w:sz w:val="24"/>
          <w:szCs w:val="24"/>
        </w:rPr>
        <w:t>ências advêm de uma crise que já se arrasta há mais de três anos e para a qual temos repetidamente chamado a atenção</w:t>
      </w:r>
      <w:r>
        <w:rPr>
          <w:rFonts w:ascii="Calibri" w:eastAsia="Calibri" w:hAnsi="Calibri" w:cs="Calibri"/>
          <w:sz w:val="24"/>
          <w:szCs w:val="24"/>
        </w:rPr>
        <w:t>”, multiplicando-se situações de especialidades sem escalas completas, sem planos de contingência, e sucessivos encerramentos de urgências u</w:t>
      </w:r>
      <w:r>
        <w:rPr>
          <w:rFonts w:ascii="Calibri" w:eastAsia="Calibri" w:hAnsi="Calibri" w:cs="Calibri"/>
          <w:sz w:val="24"/>
          <w:szCs w:val="24"/>
        </w:rPr>
        <w:t>m pouco por todo o país.</w:t>
      </w:r>
    </w:p>
    <w:p w14:paraId="0ACC61A8" w14:textId="77777777" w:rsidR="0066562D" w:rsidRDefault="00DD7175">
      <w:pPr>
        <w:shd w:val="clear" w:color="auto" w:fill="FFFFFF"/>
        <w:spacing w:after="48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Ordem dos Médicos alertou ainda que se uma equipa não tiver o número de médicos necessários, os profissionais podem emitir escusas, por falta de condições mínimas que garantam o cumprimento das suas obrigações, já que, se algo de</w:t>
      </w:r>
      <w:r>
        <w:rPr>
          <w:rFonts w:ascii="Calibri" w:eastAsia="Calibri" w:hAnsi="Calibri" w:cs="Calibri"/>
          <w:sz w:val="24"/>
          <w:szCs w:val="24"/>
        </w:rPr>
        <w:t xml:space="preserve"> errado acontecer, poderão esses profissionais incorrer em penalizações éticas e deontológicas, para além de criminais.</w:t>
      </w:r>
    </w:p>
    <w:p w14:paraId="5DCB1DA8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Numa altura em quase 1,4 milhões de utentes se encontram sem médico de família é absolutamente necessário que se melhorem as condições l</w:t>
      </w:r>
      <w:r>
        <w:rPr>
          <w:rFonts w:ascii="Calibri" w:eastAsia="Calibri" w:hAnsi="Calibri" w:cs="Calibri"/>
          <w:sz w:val="24"/>
          <w:szCs w:val="24"/>
        </w:rPr>
        <w:t xml:space="preserve">aborais dos profissionais de saúde, nomeada, mas não exclusivamente, as condições remuneratórias e das carreiras dos profissionais do Serviço Nacional de Saúde, de forma a fixar profissionais e impedir, por via </w:t>
      </w:r>
      <w:r>
        <w:rPr>
          <w:rFonts w:ascii="Calibri" w:eastAsia="Calibri" w:hAnsi="Calibri" w:cs="Calibri"/>
          <w:sz w:val="24"/>
          <w:szCs w:val="24"/>
        </w:rPr>
        <w:lastRenderedPageBreak/>
        <w:t>de incentivos remuneratórios e de condições l</w:t>
      </w:r>
      <w:r>
        <w:rPr>
          <w:rFonts w:ascii="Calibri" w:eastAsia="Calibri" w:hAnsi="Calibri" w:cs="Calibri"/>
          <w:sz w:val="24"/>
          <w:szCs w:val="24"/>
        </w:rPr>
        <w:t>aborais, a saída de especialistas para os hospitais privados.</w:t>
      </w:r>
    </w:p>
    <w:p w14:paraId="543D95A4" w14:textId="77777777" w:rsidR="0066562D" w:rsidRDefault="00DD7175">
      <w:pPr>
        <w:spacing w:before="240" w:after="160" w:line="31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entanto, os incentivos para a fixação de médicos e enfermeiros, especialmente em zonas carenciadas no que à saúde diz respeito, é essencial e tem-se mostrado, segundo as organizações represen</w:t>
      </w:r>
      <w:r>
        <w:rPr>
          <w:rFonts w:ascii="Calibri" w:eastAsia="Calibri" w:hAnsi="Calibri" w:cs="Calibri"/>
          <w:sz w:val="24"/>
          <w:szCs w:val="24"/>
        </w:rPr>
        <w:t xml:space="preserve">tativas dos trabalhadores, manifestamente insuficientes. </w:t>
      </w:r>
    </w:p>
    <w:p w14:paraId="59A285B9" w14:textId="77777777" w:rsidR="0066562D" w:rsidRDefault="00DD7175">
      <w:pPr>
        <w:spacing w:before="240" w:after="160" w:line="31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contratação e fixação de profissionais de saúde em áreas geográficas com carências em saúde visa assegurar a necessária cobertura territorial na prestação de cuidados de saúde tempestivos, de form</w:t>
      </w:r>
      <w:r>
        <w:rPr>
          <w:rFonts w:ascii="Calibri" w:eastAsia="Calibri" w:hAnsi="Calibri" w:cs="Calibri"/>
          <w:sz w:val="24"/>
          <w:szCs w:val="24"/>
        </w:rPr>
        <w:t xml:space="preserve">a a que se possa dar cumprimento ao direito de todos os utentes ao acesso à saúde. </w:t>
      </w:r>
    </w:p>
    <w:p w14:paraId="4AF0FF8B" w14:textId="77777777" w:rsidR="0066562D" w:rsidRDefault="00DD7175">
      <w:pPr>
        <w:spacing w:before="240" w:after="160" w:line="31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Acontece, porém, que o actual regime que estabelece os termos e as condições da atribuição de incentivos à mobilidade geográfica para zonas carenciadas de trabalhadores méd</w:t>
      </w:r>
      <w:r>
        <w:rPr>
          <w:rFonts w:ascii="Calibri" w:eastAsia="Calibri" w:hAnsi="Calibri" w:cs="Calibri"/>
          <w:sz w:val="24"/>
          <w:szCs w:val="24"/>
        </w:rPr>
        <w:t>icos com contrato de trabalho por tempo indeterminado, não só pecam por se limitar aos trabalhadores médicos, como não prevê o devido incentivo para compensação de despesas de habitação, essenciais para quem alterou a sua vida de forma a poder fixar-se num</w:t>
      </w:r>
      <w:r>
        <w:rPr>
          <w:rFonts w:ascii="Calibri" w:eastAsia="Calibri" w:hAnsi="Calibri" w:cs="Calibri"/>
          <w:sz w:val="24"/>
          <w:szCs w:val="24"/>
        </w:rPr>
        <w:t>a zona carenciada em cuidados de saúde.</w:t>
      </w:r>
    </w:p>
    <w:p w14:paraId="1A886292" w14:textId="77777777" w:rsidR="0066562D" w:rsidRDefault="00DD7175">
      <w:pPr>
        <w:spacing w:before="240" w:after="160" w:line="31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regime peca, igualmente, 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por prever que a identificação e levantamento de necessidades, por especialidade médica, dos serviços e estabelecimentos de saúde se faz, anualmente, no primeiro trimestre de cada ano, por 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despacho dos membros do Governo responsáveis pelas áreas das finanças e da saúde. Demonstrando, claramente, que o que está em causa não são as necessidades objectivas na saúde, mas antes as necessidades adaptadas ao valor que se pretende despender para o e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feito. </w:t>
      </w:r>
    </w:p>
    <w:p w14:paraId="7D3A442A" w14:textId="77777777" w:rsidR="0066562D" w:rsidRDefault="00DD7175">
      <w:pPr>
        <w:spacing w:before="240" w:after="160" w:line="31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Desta forma, o PESSOAS-ANIMAIS-NATUREZA, com a presente iniciativa, pretende apresentar soluções aos problemas identificados, alargando o âmbito de aplicação a médicos e enfermeiros, prevendo novos e melhores incentivos e garantindo que as carência</w:t>
      </w:r>
      <w:r>
        <w:rPr>
          <w:rFonts w:ascii="Calibri" w:eastAsia="Calibri" w:hAnsi="Calibri" w:cs="Calibri"/>
          <w:sz w:val="24"/>
          <w:szCs w:val="24"/>
        </w:rPr>
        <w:t xml:space="preserve">s identificadas anualmente sejam isentas e devidamente colmatadas. </w:t>
      </w:r>
    </w:p>
    <w:p w14:paraId="3F560A40" w14:textId="77777777" w:rsidR="0066562D" w:rsidRDefault="00DD717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Pelo exposto, e ao abrigo das disposições constitucionais e regimentais aplicáveis, a abaixo assinada Deputada Única do PESSOAS-ANIMAIS-NATUREZA, apresenta o seguinte Projeto de Lei:</w:t>
      </w:r>
    </w:p>
    <w:p w14:paraId="62D410FD" w14:textId="77777777" w:rsidR="0066562D" w:rsidRDefault="00DD7175">
      <w:pP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Artigo 1.º</w:t>
      </w:r>
    </w:p>
    <w:p w14:paraId="7C9CAEA5" w14:textId="77777777" w:rsidR="0066562D" w:rsidRDefault="00DD7175">
      <w:pP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Objeto</w:t>
      </w:r>
    </w:p>
    <w:p w14:paraId="21E4EFFF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presente lei procede à alteração do regime de incentivos à mobilidade e fixação para zonas geográficas carenciadas no que diz respeito à saúde, procedendo à terceira alteração ao Decreto-Lei n.º 101/2015, de 4 de junho.</w:t>
      </w:r>
    </w:p>
    <w:p w14:paraId="66D7CD72" w14:textId="77777777" w:rsidR="0066562D" w:rsidRDefault="00DD7175">
      <w:pPr>
        <w:spacing w:after="240" w:line="360" w:lineRule="auto"/>
        <w:ind w:right="600"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</w:p>
    <w:p w14:paraId="7FF17703" w14:textId="77777777" w:rsidR="0066562D" w:rsidRDefault="00DD7175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Artigo 2.º</w:t>
      </w:r>
    </w:p>
    <w:p w14:paraId="6D6F9DCE" w14:textId="77777777" w:rsidR="0066562D" w:rsidRDefault="00DD7175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Alteração ao Decreto-Lei n.º 101/2015, de 4 de junho</w:t>
      </w:r>
    </w:p>
    <w:p w14:paraId="6E05E171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Os artigos 1.º, 2.º, 3.º, 4.º, 5.º e 5.º-A do Decreto-Lei n.º 101/2015, de 4 de junho, alterado pelo Decreto-Lei n.º 15/2017, de 27 de janeiro, e pela Lei n.º 75-B/2020, de 31 de dezembro, pas</w:t>
      </w:r>
      <w:r>
        <w:rPr>
          <w:rFonts w:ascii="Calibri" w:eastAsia="Calibri" w:hAnsi="Calibri" w:cs="Calibri"/>
          <w:sz w:val="24"/>
          <w:szCs w:val="24"/>
          <w:highlight w:val="white"/>
        </w:rPr>
        <w:t>sam a ter a seguinte redação:</w:t>
      </w:r>
    </w:p>
    <w:p w14:paraId="72A6A4C2" w14:textId="77777777" w:rsidR="0066562D" w:rsidRDefault="00DD7175">
      <w:pPr>
        <w:spacing w:after="240" w:line="360" w:lineRule="auto"/>
        <w:ind w:left="4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«Artigo 1.º</w:t>
      </w:r>
    </w:p>
    <w:p w14:paraId="7E0B984A" w14:textId="77777777" w:rsidR="0066562D" w:rsidRDefault="00DD7175">
      <w:pPr>
        <w:spacing w:after="240" w:line="360" w:lineRule="auto"/>
        <w:ind w:left="4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(…)</w:t>
      </w:r>
    </w:p>
    <w:p w14:paraId="1DDE4BCA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 presente decreto-lei estabelece os termos e as condições de atribuição de incentivos aos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médicos e enfermeiros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com contrato de trabalho por tempo indeterminado, ou a contratar </w:t>
      </w:r>
      <w:r>
        <w:rPr>
          <w:rFonts w:ascii="Calibri" w:eastAsia="Calibri" w:hAnsi="Calibri" w:cs="Calibri"/>
          <w:b/>
          <w:color w:val="272B30"/>
          <w:sz w:val="24"/>
          <w:szCs w:val="24"/>
          <w:highlight w:val="white"/>
        </w:rPr>
        <w:t>nas mesmas condições</w:t>
      </w:r>
      <w:r>
        <w:rPr>
          <w:rFonts w:ascii="Calibri" w:eastAsia="Calibri" w:hAnsi="Calibri" w:cs="Calibri"/>
          <w:sz w:val="24"/>
          <w:szCs w:val="24"/>
          <w:highlight w:val="white"/>
        </w:rPr>
        <w:t>, mediante v</w:t>
      </w:r>
      <w:r>
        <w:rPr>
          <w:rFonts w:ascii="Calibri" w:eastAsia="Calibri" w:hAnsi="Calibri" w:cs="Calibri"/>
          <w:sz w:val="24"/>
          <w:szCs w:val="24"/>
          <w:highlight w:val="white"/>
        </w:rPr>
        <w:t>ínculo de emprego público ou privado, com serviço ou estabelecimento integrado no Serviço Nacional de Saúde (SNS) situado em zona geográfica qualificada como carenciada.</w:t>
      </w:r>
    </w:p>
    <w:p w14:paraId="740E566D" w14:textId="77777777" w:rsidR="0066562D" w:rsidRDefault="00DD7175">
      <w:pPr>
        <w:spacing w:after="240" w:line="360" w:lineRule="auto"/>
        <w:ind w:left="4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Artigo 2.º</w:t>
      </w:r>
    </w:p>
    <w:p w14:paraId="65168FD4" w14:textId="77777777" w:rsidR="0066562D" w:rsidRDefault="00DD7175">
      <w:pPr>
        <w:spacing w:after="240" w:line="360" w:lineRule="auto"/>
        <w:ind w:left="4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(…)</w:t>
      </w:r>
    </w:p>
    <w:p w14:paraId="2D989826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1 – Os incentivos aos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médicos e enfermeiros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podem ter natureza pecuniária ou não pecuniária.</w:t>
      </w:r>
    </w:p>
    <w:p w14:paraId="5211C55E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2 – Aos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médicos e enfermeiros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que sejam colocados em zonas carenciadas são atribuídos os seguintes incentivos de natureza pecuniária:</w:t>
      </w:r>
    </w:p>
    <w:p w14:paraId="0ECD7FA4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a)                 (…)</w:t>
      </w:r>
    </w:p>
    <w:p w14:paraId="7CA67DE8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b)            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[NOVO] Compensação das despesas de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habitação;</w:t>
      </w:r>
    </w:p>
    <w:p w14:paraId="1A392A7D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c)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 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          [anterior alínea b)]</w:t>
      </w:r>
    </w:p>
    <w:p w14:paraId="1E1FC4F8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3 – Aos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médicos e enfermeiros </w:t>
      </w:r>
      <w:r>
        <w:rPr>
          <w:rFonts w:ascii="Calibri" w:eastAsia="Calibri" w:hAnsi="Calibri" w:cs="Calibri"/>
          <w:sz w:val="24"/>
          <w:szCs w:val="24"/>
          <w:highlight w:val="white"/>
        </w:rPr>
        <w:t>que sejam colocados em zonas carenciadas são atribuídos os seguintes incentivos de natureza não pecuniária:</w:t>
      </w:r>
    </w:p>
    <w:p w14:paraId="43D4237A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a)                 (…)</w:t>
      </w:r>
    </w:p>
    <w:p w14:paraId="3C61E0CD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b)                (…)</w:t>
      </w:r>
    </w:p>
    <w:p w14:paraId="11F9FE61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color w:val="272B3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c) A dispensa da anuênc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ia do órgão ou serviço de origem, no caso de trabalhador com vínculo de emprego público ou, sendo o caso, do órgão de gestão de serviço ou estabelecimento de saúde com a natureza de entidade pública empresarial integrado no SNS, nas situações em que o cônj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uge ou a pessoa com quem vive em união de facto, requer a mobilidade para um serviço ou organismo sito na localidade onde 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médico ou enfermeiro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é colocado;</w:t>
      </w:r>
    </w:p>
    <w:p w14:paraId="3EA083EA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d) A preferência pelo cônjuge ou pela pessoa com quem viva em união de facto na lista de ordenação 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final dos candidatos, em caso de igualdade de classificação, nos procedimentos concursais de recrutamento publicitados ao abrigo e nos termos do artigo 30.º da Lei Geral do Trabalho em Funções Públicas (LTFP), aprovada em anexo à Lei n.º 35/2014, de 20 de 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junho, alterada pelas Leis n.os 82-B/2014, de 31 de dezembro, 84/2015, de 7 de agosto, e 18/2016, de 20 de junho, para ocupação de posto de trabalho em serviço ou organismo da administração direta e indireta do Estado sito na localidade onde 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médico ou en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fermeiro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 é colocado, desde que se trate de trabalhador com vínculo de emprego público constituído por tempo indeterminado;</w:t>
      </w:r>
    </w:p>
    <w:p w14:paraId="2EF17616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e)                 (…)</w:t>
      </w:r>
    </w:p>
    <w:p w14:paraId="004BE7D0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f)                  (…)</w:t>
      </w:r>
    </w:p>
    <w:p w14:paraId="7B08C46A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g)                 (…)</w:t>
      </w:r>
    </w:p>
    <w:p w14:paraId="1A641D02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h)                (…)</w:t>
      </w:r>
    </w:p>
    <w:p w14:paraId="0DB99964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i)                  (…)</w:t>
      </w:r>
    </w:p>
    <w:p w14:paraId="243E45A1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j)                   (…)</w:t>
      </w:r>
    </w:p>
    <w:p w14:paraId="04020317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k)  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A duração máxima do acordo de cedência de interesse público a que se refere o n.º 1 do artigo 243.º da LTFP, celebrado pelo cônjuge ou pela pessoa com quem viva em união de facto para exercício de funções no âmbito de serviço da administração direta ou ind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ireta do Estado sito na localidade onde 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médico ou enfermeiro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 está colocado, coincide com o período de colocação do trabalhador na mesma localidade, sem prejuízo dos demais requisitos legais previstos para o referido acordo, nem de outras disposições leg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ais mais favoráveis que lhe sejam aplicáveis.</w:t>
      </w:r>
    </w:p>
    <w:p w14:paraId="5C3D3569" w14:textId="77777777" w:rsidR="0066562D" w:rsidRDefault="0066562D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336F5DB" w14:textId="77777777" w:rsidR="0066562D" w:rsidRDefault="00DD7175">
      <w:pPr>
        <w:spacing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Artigo 3.º</w:t>
      </w:r>
    </w:p>
    <w:p w14:paraId="5E829DEF" w14:textId="77777777" w:rsidR="0066562D" w:rsidRDefault="00DD7175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(…)</w:t>
      </w:r>
    </w:p>
    <w:p w14:paraId="53F1CFAF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1 – Os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médicos e enfermeiros </w:t>
      </w:r>
      <w:r>
        <w:rPr>
          <w:rFonts w:ascii="Calibri" w:eastAsia="Calibri" w:hAnsi="Calibri" w:cs="Calibri"/>
          <w:sz w:val="24"/>
          <w:szCs w:val="24"/>
          <w:highlight w:val="white"/>
        </w:rPr>
        <w:t>colocados em zonas carenciadas têm direito a um abono por compensação das despesas resultantes da sua deslocação e do seu agregado familiar, bem como do transporte d</w:t>
      </w:r>
      <w:r>
        <w:rPr>
          <w:rFonts w:ascii="Calibri" w:eastAsia="Calibri" w:hAnsi="Calibri" w:cs="Calibri"/>
          <w:sz w:val="24"/>
          <w:szCs w:val="24"/>
          <w:highlight w:val="white"/>
        </w:rPr>
        <w:t>a respetiva bagagem, correspondente ao valor do abono de 15 dias de ajuda de custo.</w:t>
      </w:r>
    </w:p>
    <w:p w14:paraId="7EB9620F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2 – (…)</w:t>
      </w:r>
    </w:p>
    <w:p w14:paraId="28F3D276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3 – (…)</w:t>
      </w:r>
    </w:p>
    <w:p w14:paraId="2CDDB9D5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4 – 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O disposto no presente artigo não é aplicável aos médicos </w:t>
      </w:r>
      <w:r>
        <w:rPr>
          <w:rFonts w:ascii="Calibri" w:eastAsia="Calibri" w:hAnsi="Calibri" w:cs="Calibri"/>
          <w:b/>
          <w:color w:val="272B30"/>
          <w:sz w:val="24"/>
          <w:szCs w:val="24"/>
          <w:highlight w:val="white"/>
        </w:rPr>
        <w:t>ou enfermeiros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que, à data do recrutamento para zona geográfica carenciada, não se encontrem v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inculados, em regime de contrato de trabalho em funções públicas ou de contrato individual de trabalho, independentemente, em ambos os casos, da sua modalidade, a serviços ou estabelecimentos de saúde, integrados no SNS, bem como aos que, tendo beneficiado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do regime previsto no 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lastRenderedPageBreak/>
        <w:t>presente artigo, não tenham permanecido no estabelecimento de colocação pelo período mínimo de cinco anos.</w:t>
      </w:r>
    </w:p>
    <w:p w14:paraId="512EE65C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F484A4A" w14:textId="77777777" w:rsidR="0066562D" w:rsidRDefault="00DD7175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Artigo 4.º</w:t>
      </w:r>
    </w:p>
    <w:p w14:paraId="6356BDD1" w14:textId="77777777" w:rsidR="0066562D" w:rsidRDefault="00DD7175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(…)</w:t>
      </w:r>
    </w:p>
    <w:p w14:paraId="11BCD8F7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1 – O incentivo para colocação é pago 12 meses por ano e visa compensar os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médicos e enfermeiros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pelas cond</w:t>
      </w:r>
      <w:r>
        <w:rPr>
          <w:rFonts w:ascii="Calibri" w:eastAsia="Calibri" w:hAnsi="Calibri" w:cs="Calibri"/>
          <w:sz w:val="24"/>
          <w:szCs w:val="24"/>
          <w:highlight w:val="white"/>
        </w:rPr>
        <w:t>ições mais exigentes de prestação em zona carenciada.</w:t>
      </w:r>
    </w:p>
    <w:p w14:paraId="14DC2DA3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2 – O valor do incentivo para colocação é devido durante e enquanto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os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médicos e enfermeiros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permanecerem no posto de trabalho situado em zona carenciada, sendo fixado em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50% da remuneração base.</w:t>
      </w:r>
    </w:p>
    <w:p w14:paraId="5DCF78A4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3 – (</w:t>
      </w:r>
      <w:r>
        <w:rPr>
          <w:rFonts w:ascii="Calibri" w:eastAsia="Calibri" w:hAnsi="Calibri" w:cs="Calibri"/>
          <w:sz w:val="24"/>
          <w:szCs w:val="24"/>
          <w:highlight w:val="white"/>
        </w:rPr>
        <w:t>…).</w:t>
      </w:r>
    </w:p>
    <w:p w14:paraId="7B540EC8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4- (…).</w:t>
      </w:r>
    </w:p>
    <w:p w14:paraId="62C7FB60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5 – (…).</w:t>
      </w:r>
    </w:p>
    <w:p w14:paraId="2D03814B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6 – (…).</w:t>
      </w:r>
    </w:p>
    <w:p w14:paraId="7A83F7E7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7 – (…).</w:t>
      </w:r>
    </w:p>
    <w:p w14:paraId="33CA5B12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51488A5" w14:textId="77777777" w:rsidR="0066562D" w:rsidRDefault="00DD7175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Artigo 5.º</w:t>
      </w:r>
    </w:p>
    <w:p w14:paraId="2FCB0A3E" w14:textId="77777777" w:rsidR="0066562D" w:rsidRDefault="00DD7175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(…)</w:t>
      </w:r>
    </w:p>
    <w:p w14:paraId="1B54C05F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 – (…)</w:t>
      </w:r>
    </w:p>
    <w:p w14:paraId="1D64B9CE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a) (…)</w:t>
      </w:r>
    </w:p>
    <w:p w14:paraId="3C38DDA4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b) Número de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médicos e enfermeiros, </w:t>
      </w:r>
      <w:r>
        <w:rPr>
          <w:rFonts w:ascii="Calibri" w:eastAsia="Calibri" w:hAnsi="Calibri" w:cs="Calibri"/>
          <w:sz w:val="24"/>
          <w:szCs w:val="24"/>
          <w:highlight w:val="white"/>
        </w:rPr>
        <w:t>em função da densidade populacional abrangida pelo serviço ou estabelecimento de saúde e sua comparação com outros estabelecimentos do mesmo grupo;</w:t>
      </w:r>
    </w:p>
    <w:p w14:paraId="6C9BB331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c) Níveis de desempenho assistencial, produtividade e de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acesso da população aos cuidados de saúde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2C365E1B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d)     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    (…)</w:t>
      </w:r>
    </w:p>
    <w:p w14:paraId="3CC4FCAA" w14:textId="77777777" w:rsidR="0066562D" w:rsidRDefault="00DD7175">
      <w:pPr>
        <w:spacing w:after="24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e)                 (…)</w:t>
      </w:r>
    </w:p>
    <w:p w14:paraId="6C1DCAD7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2 —A identificação, por especialidade médica, dos serviços e estabelecimentos de saúde para os efeitos previstos no presente decreto-lei, faz-se, anualmente, no primeiro trimestre de cada ano, por despacho dos membros d</w:t>
      </w:r>
      <w:r>
        <w:rPr>
          <w:rFonts w:ascii="Calibri" w:eastAsia="Calibri" w:hAnsi="Calibri" w:cs="Calibri"/>
          <w:sz w:val="24"/>
          <w:szCs w:val="24"/>
          <w:highlight w:val="white"/>
        </w:rPr>
        <w:t>o Governo responsáveis pela área da saúde.</w:t>
      </w:r>
    </w:p>
    <w:p w14:paraId="4DFB8614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3 –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[NOVO] Na sequência do despacho do número anterior e identificadas as carências a suprir, é aberto o respectivo processo concursal, durante o primeiro trimestre de cada ano civil, para o preenchimento dos pos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tos de trabalho identificados.</w:t>
      </w:r>
    </w:p>
    <w:p w14:paraId="45537D5D" w14:textId="77777777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Artigo 5.º -A</w:t>
      </w:r>
    </w:p>
    <w:p w14:paraId="2EFD394B" w14:textId="77777777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(…)</w:t>
      </w:r>
    </w:p>
    <w:p w14:paraId="438BCA49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color w:val="272B3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1 - No caso de um </w:t>
      </w:r>
      <w:r>
        <w:rPr>
          <w:rFonts w:ascii="Calibri" w:eastAsia="Calibri" w:hAnsi="Calibri" w:cs="Calibri"/>
          <w:b/>
          <w:color w:val="272B30"/>
          <w:sz w:val="24"/>
          <w:szCs w:val="24"/>
          <w:highlight w:val="white"/>
        </w:rPr>
        <w:t>médico ou enfermeiro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que se disponibilize para ocupar um posto de trabalho num serviço ou estabelecimento de saúde que, para a respetiva especialidade, se situe em zona geográfica qualifica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da como carenciada, é dispensado o acordo do órgão ou serviço de origem.</w:t>
      </w:r>
    </w:p>
    <w:p w14:paraId="64DC3CC4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color w:val="272B3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2 - Ao </w:t>
      </w:r>
      <w:r>
        <w:rPr>
          <w:rFonts w:ascii="Calibri" w:eastAsia="Calibri" w:hAnsi="Calibri" w:cs="Calibri"/>
          <w:b/>
          <w:color w:val="272B30"/>
          <w:sz w:val="24"/>
          <w:szCs w:val="24"/>
          <w:highlight w:val="white"/>
        </w:rPr>
        <w:t>médico ou enfermeiro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que, tendo permanecido, ao abrigo do regime fixado pelo presente decreto-lei, por três ou mais anos num serviço ou estabelecimento de saúde situado em zona</w:t>
      </w: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 xml:space="preserve"> geográfica qualificada como carenciada e requeira a mobilidade para novo posto e local de trabalho é dispensado o acordo do órgão ou serviço de origem.</w:t>
      </w:r>
    </w:p>
    <w:p w14:paraId="70141AC5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72B30"/>
          <w:sz w:val="24"/>
          <w:szCs w:val="24"/>
          <w:highlight w:val="white"/>
        </w:rPr>
        <w:t>3 - (...).</w:t>
      </w:r>
    </w:p>
    <w:p w14:paraId="4E53E32A" w14:textId="77777777" w:rsidR="0066562D" w:rsidRDefault="0066562D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33E95CF" w14:textId="77777777" w:rsidR="0066562D" w:rsidRDefault="00DD7175">
      <w:pP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Artigo 3.º</w:t>
      </w:r>
    </w:p>
    <w:p w14:paraId="1305C79F" w14:textId="77777777" w:rsidR="0066562D" w:rsidRDefault="00DD7175">
      <w:pP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Aditamento ao Decreto-Lei n.º 101/2015, de 4 de junho</w:t>
      </w:r>
    </w:p>
    <w:p w14:paraId="5FC7D2B0" w14:textId="77777777" w:rsidR="0066562D" w:rsidRDefault="00DD7175">
      <w:pPr>
        <w:spacing w:before="12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É aditado o novo artigo 4.</w:t>
      </w:r>
      <w:r>
        <w:rPr>
          <w:rFonts w:ascii="Calibri" w:eastAsia="Calibri" w:hAnsi="Calibri" w:cs="Calibri"/>
          <w:sz w:val="24"/>
          <w:szCs w:val="24"/>
          <w:highlight w:val="white"/>
        </w:rPr>
        <w:t>º-A ao Decreto-Lei n.º 101/2015, de 4 de junho, alterado pelo Decreto-Lei n.º 15/2017, de 27 de janeiro, e pela Lei n.º 75-B/2020, de 31 de dezembro, com a seguinte redação:</w:t>
      </w:r>
    </w:p>
    <w:p w14:paraId="0FEA9610" w14:textId="77777777" w:rsidR="0066562D" w:rsidRDefault="00DD7175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«Artigo 4.º-A</w:t>
      </w:r>
    </w:p>
    <w:p w14:paraId="358B9B69" w14:textId="77777777" w:rsidR="0066562D" w:rsidRDefault="00DD7175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Compensação pelas despesas de habitação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47D5DC71" w14:textId="77777777" w:rsidR="0066562D" w:rsidRDefault="00DD7175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Os médicos e enfermeiros colocados em zonas carenciadas têm direito a abono, pago 12 meses por ano, por compensação das despesas com a habitação no valor correspondente ao valor médio das rendas por m2 de novos contratos de arrendamento habitacional que co</w:t>
      </w:r>
      <w:r>
        <w:rPr>
          <w:rFonts w:ascii="Calibri" w:eastAsia="Calibri" w:hAnsi="Calibri" w:cs="Calibri"/>
          <w:sz w:val="24"/>
          <w:szCs w:val="24"/>
          <w:highlight w:val="white"/>
        </w:rPr>
        <w:t>rresponda às necessidades do agregado familiar por localização geográfica do Instituto Nacional de Estatística.»</w:t>
      </w:r>
    </w:p>
    <w:p w14:paraId="7276B7F6" w14:textId="77777777" w:rsidR="0066562D" w:rsidRDefault="00DD7175">
      <w:pP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Artigo 4.º</w:t>
      </w:r>
    </w:p>
    <w:p w14:paraId="4F7C3B32" w14:textId="77777777" w:rsidR="0066562D" w:rsidRDefault="00DD7175">
      <w:pPr>
        <w:spacing w:before="120" w:after="24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Entrada em vigor</w:t>
      </w:r>
    </w:p>
    <w:p w14:paraId="6BF7DD7B" w14:textId="77777777" w:rsidR="0066562D" w:rsidRDefault="00DD7175">
      <w:pPr>
        <w:spacing w:before="120" w:after="24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presente lei entra em vigor com o Orçamento do Estado subsequente à sua publicação.</w:t>
      </w:r>
    </w:p>
    <w:p w14:paraId="1EF89C3D" w14:textId="77777777" w:rsidR="0066562D" w:rsidRDefault="0066562D">
      <w:pPr>
        <w:spacing w:before="240" w:after="160" w:line="312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428EA102" w14:textId="77777777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Assembleia da República, 17 de junho de 2022</w:t>
      </w:r>
    </w:p>
    <w:p w14:paraId="74C3A330" w14:textId="77777777" w:rsidR="0066562D" w:rsidRDefault="00DD7175">
      <w:pPr>
        <w:spacing w:before="240" w:after="160" w:line="312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105863FF" w14:textId="77777777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Deputada Única,</w:t>
      </w:r>
    </w:p>
    <w:p w14:paraId="2A00F558" w14:textId="77777777" w:rsidR="0066562D" w:rsidRDefault="00DD7175">
      <w:pPr>
        <w:spacing w:before="240" w:after="160" w:line="31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Inês de Sousa Real</w:t>
      </w:r>
    </w:p>
    <w:sectPr w:rsidR="0066562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B1E4" w14:textId="77777777" w:rsidR="00000000" w:rsidRDefault="00DD7175">
      <w:pPr>
        <w:spacing w:line="240" w:lineRule="auto"/>
      </w:pPr>
      <w:r>
        <w:separator/>
      </w:r>
    </w:p>
  </w:endnote>
  <w:endnote w:type="continuationSeparator" w:id="0">
    <w:p w14:paraId="64072745" w14:textId="77777777" w:rsidR="00000000" w:rsidRDefault="00DD7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044B" w14:textId="77777777" w:rsidR="00000000" w:rsidRDefault="00DD7175">
      <w:pPr>
        <w:spacing w:line="240" w:lineRule="auto"/>
      </w:pPr>
      <w:r>
        <w:separator/>
      </w:r>
    </w:p>
  </w:footnote>
  <w:footnote w:type="continuationSeparator" w:id="0">
    <w:p w14:paraId="3973DFEB" w14:textId="77777777" w:rsidR="00000000" w:rsidRDefault="00DD7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5C79" w14:textId="77777777" w:rsidR="0066562D" w:rsidRDefault="00DD7175">
    <w:pPr>
      <w:spacing w:line="240" w:lineRule="auto"/>
      <w:jc w:val="cen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D92CDD0" wp14:editId="63EE81C5">
          <wp:extent cx="1452925" cy="868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2D"/>
    <w:rsid w:val="0066562D"/>
    <w:rsid w:val="00D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73D4"/>
  <w15:docId w15:val="{5FEE5C1A-852E-46F9-91C1-E12D0A3E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2022-06-16T23:00:00+00:00</DataDocumento>
    <NomeOriginalFicheiro xmlns="http://schemas.microsoft.com/sharepoint/v3">pjl172-XV.docx</NomeOriginalFicheiro>
    <IDFase xmlns="http://schemas.microsoft.com/sharepoint/v3">0</IDFase>
    <NRIniciativa xmlns="http://schemas.microsoft.com/sharepoint/v3">172</NRIniciativa>
    <IDIniciativa xmlns="http://schemas.microsoft.com/sharepoint/v3">131647</IDIniciativa>
  </documentManagement>
</p:properties>
</file>

<file path=customXml/itemProps1.xml><?xml version="1.0" encoding="utf-8"?>
<ds:datastoreItem xmlns:ds="http://schemas.openxmlformats.org/officeDocument/2006/customXml" ds:itemID="{39F6AA45-FE17-4152-8F02-2232FC76651E}"/>
</file>

<file path=customXml/itemProps2.xml><?xml version="1.0" encoding="utf-8"?>
<ds:datastoreItem xmlns:ds="http://schemas.openxmlformats.org/officeDocument/2006/customXml" ds:itemID="{3425C30B-C14B-4C4D-B5AE-A6A5A00EAED0}"/>
</file>

<file path=customXml/itemProps3.xml><?xml version="1.0" encoding="utf-8"?>
<ds:datastoreItem xmlns:ds="http://schemas.openxmlformats.org/officeDocument/2006/customXml" ds:itemID="{7E98B5BE-DC12-4F34-98F5-48253359E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1701</Words>
  <Characters>9186</Characters>
  <Application>Microsoft Office Word</Application>
  <DocSecurity>4</DocSecurity>
  <Lines>76</Lines>
  <Paragraphs>21</Paragraphs>
  <ScaleCrop>false</ScaleCrop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Beatriz Zoccoli</dc:creator>
  <cp:lastModifiedBy>Beatriz Zoccoli</cp:lastModifiedBy>
  <cp:revision>2</cp:revision>
  <cp:lastPrinted>2022-06-17T17:01:00Z</cp:lastPrinted>
  <dcterms:created xsi:type="dcterms:W3CDTF">2022-06-17T17:02:00Z</dcterms:created>
  <dcterms:modified xsi:type="dcterms:W3CDTF">2022-06-17T17:02:00Z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93300</vt:r8>
  </property>
</Properties>
</file>