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25B8" w14:textId="77777777" w:rsidR="00A60150" w:rsidRDefault="00A60150">
      <w:pPr>
        <w:jc w:val="center"/>
        <w:rPr>
          <w:b/>
          <w:sz w:val="24"/>
          <w:szCs w:val="24"/>
        </w:rPr>
      </w:pPr>
    </w:p>
    <w:p w14:paraId="3AA9CEFF" w14:textId="77777777" w:rsidR="00A60150" w:rsidRDefault="00A60150">
      <w:pPr>
        <w:rPr>
          <w:sz w:val="24"/>
          <w:szCs w:val="24"/>
        </w:rPr>
      </w:pPr>
    </w:p>
    <w:p w14:paraId="1F76ED99" w14:textId="40BE73EE" w:rsidR="00A60150" w:rsidRDefault="00F90B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Resolução n.º 22/XV</w:t>
      </w:r>
    </w:p>
    <w:p w14:paraId="3085BBB5" w14:textId="77777777" w:rsidR="00A60150" w:rsidRDefault="00A60150">
      <w:pPr>
        <w:jc w:val="center"/>
        <w:rPr>
          <w:b/>
          <w:sz w:val="24"/>
          <w:szCs w:val="24"/>
        </w:rPr>
      </w:pPr>
    </w:p>
    <w:p w14:paraId="157EE047" w14:textId="77777777" w:rsidR="00A60150" w:rsidRDefault="00A60150">
      <w:pPr>
        <w:jc w:val="center"/>
        <w:rPr>
          <w:b/>
          <w:sz w:val="24"/>
          <w:szCs w:val="24"/>
        </w:rPr>
      </w:pPr>
    </w:p>
    <w:p w14:paraId="3F6ECF3F" w14:textId="77777777" w:rsidR="00A60150" w:rsidRDefault="00F90B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Nem mais um euro da União Europeia para a guerra de Putin. </w:t>
      </w:r>
    </w:p>
    <w:p w14:paraId="19117A5B" w14:textId="77777777" w:rsidR="00A60150" w:rsidRDefault="00A60150">
      <w:pPr>
        <w:jc w:val="center"/>
        <w:rPr>
          <w:b/>
          <w:sz w:val="24"/>
          <w:szCs w:val="24"/>
        </w:rPr>
      </w:pPr>
    </w:p>
    <w:p w14:paraId="4E8FC010" w14:textId="77777777" w:rsidR="00A60150" w:rsidRDefault="00F90B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Recomenda ao Governo que defenda no Conselho Europeu a adoção de um mecanismo de retenção dos pagamentos por combustíveis fósseis à Federação Russa e, através do estabelecimento de uma conta fiduciária num estado terceiro, de constituição de um fundo de re</w:t>
      </w:r>
      <w:r>
        <w:rPr>
          <w:b/>
          <w:sz w:val="24"/>
          <w:szCs w:val="24"/>
        </w:rPr>
        <w:t>construção da Ucrânia a título de reparações de guerra</w:t>
      </w:r>
    </w:p>
    <w:p w14:paraId="7BC7F8D4" w14:textId="77777777" w:rsidR="00A60150" w:rsidRDefault="00A60150">
      <w:pPr>
        <w:rPr>
          <w:sz w:val="26"/>
          <w:szCs w:val="26"/>
        </w:rPr>
      </w:pPr>
    </w:p>
    <w:p w14:paraId="41A1E71C" w14:textId="77777777" w:rsidR="00A60150" w:rsidRDefault="00A60150"/>
    <w:p w14:paraId="7B2BEE04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Um dos mais sérios dilemas que o presente cenário de guerra provocado pela invasão da Rússia à Ucrânia nos coloca é o de a União Europeia condenar a invasão e apoiar o país que dela foi vítima ao mes</w:t>
      </w:r>
      <w:r>
        <w:rPr>
          <w:sz w:val="24"/>
          <w:szCs w:val="24"/>
        </w:rPr>
        <w:t>mo tempo que financia, direta e regularmente, o esforço de guerra do país perpetrador. Em bom rigor, esta asserção peca por defeito: a União Europeia financia em muito mais o esforço de guerra do país invasor do que apoia financeiramente o país invadido. T</w:t>
      </w:r>
      <w:r>
        <w:rPr>
          <w:sz w:val="24"/>
          <w:szCs w:val="24"/>
        </w:rPr>
        <w:t>al ocorre, como é sabido, através dos pagamentos pelo fornecimento de gás natural e petróleo russos, combustíveis fósseis pelos quais os estados-membros da União Europeia pagam agregadamente cerca de 650 milhões de euros diários (dependendo, claro, da cota</w:t>
      </w:r>
      <w:r>
        <w:rPr>
          <w:sz w:val="24"/>
          <w:szCs w:val="24"/>
        </w:rPr>
        <w:t>ção do gás e petróleo a cada dia).</w:t>
      </w:r>
    </w:p>
    <w:p w14:paraId="5F570F47" w14:textId="77777777" w:rsidR="00A60150" w:rsidRDefault="00A60150">
      <w:pPr>
        <w:jc w:val="both"/>
        <w:rPr>
          <w:sz w:val="24"/>
          <w:szCs w:val="24"/>
        </w:rPr>
      </w:pPr>
    </w:p>
    <w:p w14:paraId="29F21280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comparação, o total dos apoios prometidos pela União Europeia à Ucrânia desde o início da guerra está em cerca de 500 milhões. Isto significa que todos os dias as economias da União Europeia pagam à Rússia de Putin </w:t>
      </w:r>
      <w:r>
        <w:rPr>
          <w:sz w:val="24"/>
          <w:szCs w:val="24"/>
        </w:rPr>
        <w:t>mais do que todo o apoio financeiro enviado à Ucrânia desde o início da guerra.</w:t>
      </w:r>
    </w:p>
    <w:p w14:paraId="46BC8E11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Para além da contradição moral, esta realidade mina a capacidade de influência da União Europeia e esvazia, na prática, os objetivos dos vários pacotes de sanções contra a Fede</w:t>
      </w:r>
      <w:r>
        <w:rPr>
          <w:sz w:val="24"/>
          <w:szCs w:val="24"/>
        </w:rPr>
        <w:t>ração Russa já decididos pela União Europeia.</w:t>
      </w:r>
    </w:p>
    <w:p w14:paraId="4AA30CA6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Em consequência, segundo os dados do Banco Mundial, o impacto desta guerra sobre a economia ucraniana será o de uma contração de cerca de 45% da sua economia, ao passo que a Federação Russa sofre uma recessão c</w:t>
      </w:r>
      <w:r>
        <w:rPr>
          <w:sz w:val="24"/>
          <w:szCs w:val="24"/>
        </w:rPr>
        <w:t>omparativamente menor de cerca de 11%.</w:t>
      </w:r>
    </w:p>
    <w:p w14:paraId="6C291A6A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Por uma questão de eficácia, bem como de coerência política, torna-se imprescindível reconsiderar a questão das importações de combustíveis fósseis russos e dos seus pagamentos por parte da União Europeia.</w:t>
      </w:r>
    </w:p>
    <w:p w14:paraId="7FE733BD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solução m</w:t>
      </w:r>
      <w:r>
        <w:rPr>
          <w:sz w:val="24"/>
          <w:szCs w:val="24"/>
        </w:rPr>
        <w:t>ais evidente a este dilema, com a qual o LIVRE concorda, é a de um embargo às importações de gás natural e petróleo russos (para além das importações de carvão sobre as quais já pende uma decisão de embargo por parte da União Europeia). No entanto, a propo</w:t>
      </w:r>
      <w:r>
        <w:rPr>
          <w:sz w:val="24"/>
          <w:szCs w:val="24"/>
        </w:rPr>
        <w:t xml:space="preserve">sta de embargo tem sido bloqueada, no Conselho Europeu e no debate público na União Europeia, por certos governos nacionais, nomeadamente o da Alemanha, que alegam não ser possível reconverter o seu modelo económico para poder prescindir do gás e petróleo </w:t>
      </w:r>
      <w:r>
        <w:rPr>
          <w:sz w:val="24"/>
          <w:szCs w:val="24"/>
        </w:rPr>
        <w:t>russos a curto prazo. Em nosso entender, tal argumento reforça a posição de longa data do LIVRE em defesa de um Novo Pacto Verde, ou seja, de um plano de investimento para, entre outras, uma transição energética que permita à economia europeia “fazer o des</w:t>
      </w:r>
      <w:r>
        <w:rPr>
          <w:sz w:val="24"/>
          <w:szCs w:val="24"/>
        </w:rPr>
        <w:t xml:space="preserve">mame” não só dos combustíveis fósseis </w:t>
      </w:r>
      <w:proofErr w:type="gramStart"/>
      <w:r>
        <w:rPr>
          <w:sz w:val="24"/>
          <w:szCs w:val="24"/>
        </w:rPr>
        <w:t>russos</w:t>
      </w:r>
      <w:proofErr w:type="gramEnd"/>
      <w:r>
        <w:rPr>
          <w:sz w:val="24"/>
          <w:szCs w:val="24"/>
        </w:rPr>
        <w:t xml:space="preserve"> mas dos combustíveis fósseis, ponto final. Quanto mais cedo tivéssemos começado essa transição, mais soberania energética teríamos agora e mais capacidade de “desligar a ficha” à dependência energética da Rússia</w:t>
      </w:r>
      <w:r>
        <w:rPr>
          <w:sz w:val="24"/>
          <w:szCs w:val="24"/>
        </w:rPr>
        <w:t xml:space="preserve"> (e consequentemente, de financiamento ao esforço de guerra de Putin) teríamos.</w:t>
      </w:r>
      <w:r>
        <w:rPr>
          <w:sz w:val="24"/>
          <w:szCs w:val="24"/>
        </w:rPr>
        <w:br/>
      </w:r>
    </w:p>
    <w:p w14:paraId="63B8D4C4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Sendo, porém, a situação aquela que fica atrás descrita, urge fazer o esforço de procura de compromissos e soluções alternativas que permitam à União Europeia deixar de financ</w:t>
      </w:r>
      <w:r>
        <w:rPr>
          <w:sz w:val="24"/>
          <w:szCs w:val="24"/>
        </w:rPr>
        <w:t>iar um esforço de guerra que politicamente condena, ao passo que recursos financeiros que seriam necessários à reconstrução do país invadido estão a ser enviados para os cofres do invasor. Entre essas soluções alternativas que, de uma ou outra forma, têm s</w:t>
      </w:r>
      <w:r>
        <w:rPr>
          <w:sz w:val="24"/>
          <w:szCs w:val="24"/>
        </w:rPr>
        <w:t>ido mencionadas no debate público europeu, avulta a possibilidade de uma suspensão de pagamentos ou - a proposta que apresentamos aqui - a da criação de uma conta fiduciária num estado terceiro para retenção desses pagamentos e, sob certas condições, o seu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redirecionamento</w:t>
      </w:r>
      <w:proofErr w:type="spellEnd"/>
      <w:r>
        <w:rPr>
          <w:sz w:val="24"/>
          <w:szCs w:val="24"/>
        </w:rPr>
        <w:t xml:space="preserve"> para a reconstrução da Ucrânia a título de reparações de guerra.</w:t>
      </w:r>
    </w:p>
    <w:p w14:paraId="44C74DD3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Entenda-se, no caso presente, conta fiduciária (ou de caução ou em inglês “</w:t>
      </w:r>
      <w:proofErr w:type="spellStart"/>
      <w:r>
        <w:rPr>
          <w:sz w:val="24"/>
          <w:szCs w:val="24"/>
        </w:rPr>
        <w:t>Escrow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>”) como um mecanismo através do qual a União Europeia realiza os pagamentos pelas im</w:t>
      </w:r>
      <w:r>
        <w:rPr>
          <w:sz w:val="24"/>
          <w:szCs w:val="24"/>
        </w:rPr>
        <w:t>portações de gás e petróleo a um estado terceiro que serve de fiel depositário desses fundos para os transferir apenas e só sob determinadas condições aos destinatários que forem determinados através da celebração de um instrumento de direito internacional</w:t>
      </w:r>
      <w:r>
        <w:rPr>
          <w:sz w:val="24"/>
          <w:szCs w:val="24"/>
        </w:rPr>
        <w:t>. A título exemplificativo, sugere-se que um estado terceiro reunindo condições para ser fiel depositário poderia ser um (ou mais) dos estados EFTA, a saber: Suíça, Noruega, Islândia e Liechtenstein.</w:t>
      </w:r>
    </w:p>
    <w:p w14:paraId="2D0183B3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As condições para a libertação dos fundos seriam ditadas</w:t>
      </w:r>
      <w:r>
        <w:rPr>
          <w:sz w:val="24"/>
          <w:szCs w:val="24"/>
        </w:rPr>
        <w:t xml:space="preserve"> pela situação no terreno na Ucrânia e definidas pelo Conselho Europeu. Assim, poderia a União Europeia decidir que nenhuma transferência seria feita enquanto não houvesse uma retirada das tropas russas para trás das linhas que ocupavam a 24 de fevereiro d</w:t>
      </w:r>
      <w:r>
        <w:rPr>
          <w:sz w:val="24"/>
          <w:szCs w:val="24"/>
        </w:rPr>
        <w:t xml:space="preserve">e 2022 ou uma saída total de território ucraniano, mediante acordo de paz. Recomenda-se também que </w:t>
      </w:r>
      <w:proofErr w:type="gramStart"/>
      <w:r>
        <w:rPr>
          <w:sz w:val="24"/>
          <w:szCs w:val="24"/>
        </w:rPr>
        <w:t>uma proporção crescente dos fundos presentes nessa conta fiduciária devessem</w:t>
      </w:r>
      <w:proofErr w:type="gramEnd"/>
      <w:r>
        <w:rPr>
          <w:sz w:val="24"/>
          <w:szCs w:val="24"/>
        </w:rPr>
        <w:t xml:space="preserve"> ser transferidos para a Ucrânia, a título de reparações de guerra, para um fundo</w:t>
      </w:r>
      <w:r>
        <w:rPr>
          <w:sz w:val="24"/>
          <w:szCs w:val="24"/>
        </w:rPr>
        <w:t xml:space="preserve"> de reconstrução daquele país.</w:t>
      </w:r>
    </w:p>
    <w:p w14:paraId="2E264105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consequência, a cada dia que a presente situação de guerra demorasse, a Federação Russa perderia uma percentagem dos fundos presentes na conta </w:t>
      </w:r>
      <w:r>
        <w:rPr>
          <w:sz w:val="24"/>
          <w:szCs w:val="24"/>
        </w:rPr>
        <w:lastRenderedPageBreak/>
        <w:t xml:space="preserve">fiduciária que seria diretamente transferida para o fundo de reconstrução da </w:t>
      </w:r>
      <w:r>
        <w:rPr>
          <w:sz w:val="24"/>
          <w:szCs w:val="24"/>
        </w:rPr>
        <w:t xml:space="preserve">Ucrânia.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Esta proposta tem várias características que permitiriam ajudar a fazer avançar o debate político sobre este tema e que poderiam até constituir uma base para o compromisso entre os </w:t>
      </w:r>
      <w:proofErr w:type="gramStart"/>
      <w:r>
        <w:rPr>
          <w:sz w:val="24"/>
          <w:szCs w:val="24"/>
        </w:rPr>
        <w:t>estados membros</w:t>
      </w:r>
      <w:proofErr w:type="gramEnd"/>
      <w:r>
        <w:rPr>
          <w:sz w:val="24"/>
          <w:szCs w:val="24"/>
        </w:rPr>
        <w:t xml:space="preserve"> do Conselho Europeu que favorecem o embargo e aq</w:t>
      </w:r>
      <w:r>
        <w:rPr>
          <w:sz w:val="24"/>
          <w:szCs w:val="24"/>
        </w:rPr>
        <w:t>ueles que o recusam. Por um lado, a União Europeia deixaria de financiar o esforço de guerra russo a partir do momento em que este mecanismo fosse implementado, objetivo político da máxima importância. Por outro lado, a União Europeia não perderia capacida</w:t>
      </w:r>
      <w:r>
        <w:rPr>
          <w:sz w:val="24"/>
          <w:szCs w:val="24"/>
        </w:rPr>
        <w:t xml:space="preserve">de de agir enquanto compradora de </w:t>
      </w:r>
      <w:proofErr w:type="gramStart"/>
      <w:r>
        <w:rPr>
          <w:sz w:val="24"/>
          <w:szCs w:val="24"/>
        </w:rPr>
        <w:t>boa fé</w:t>
      </w:r>
      <w:proofErr w:type="gramEnd"/>
      <w:r>
        <w:rPr>
          <w:sz w:val="24"/>
          <w:szCs w:val="24"/>
        </w:rPr>
        <w:t>, uma vez que realizaria atempadamente os pagamentos contratados, e o fornecedor saberia que poderia contar com os fundos tão logo suspendesse as ações militares e uma guerra condenada pela Assembleia Geral da ONU, o</w:t>
      </w:r>
      <w:r>
        <w:rPr>
          <w:sz w:val="24"/>
          <w:szCs w:val="24"/>
        </w:rPr>
        <w:t>u cumprisse com as condicionalidades na forma em que fossem determinadas pelo Conselho Europeu.</w:t>
      </w:r>
    </w:p>
    <w:p w14:paraId="0C99323D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Finalmente, de acordo com a prática </w:t>
      </w:r>
      <w:proofErr w:type="gramStart"/>
      <w:r>
        <w:rPr>
          <w:sz w:val="24"/>
          <w:szCs w:val="24"/>
        </w:rPr>
        <w:t>histórica  do</w:t>
      </w:r>
      <w:proofErr w:type="gramEnd"/>
      <w:r>
        <w:rPr>
          <w:sz w:val="24"/>
          <w:szCs w:val="24"/>
        </w:rPr>
        <w:t xml:space="preserve"> direito internacional, esses fundos seriam destinados ao país que mais deles necessita para a sua reconstrução</w:t>
      </w:r>
      <w:r>
        <w:rPr>
          <w:sz w:val="24"/>
          <w:szCs w:val="24"/>
        </w:rPr>
        <w:t>, a Ucrânia, enquanto reparação de guerra.</w:t>
      </w:r>
      <w:r>
        <w:rPr>
          <w:sz w:val="24"/>
          <w:szCs w:val="24"/>
        </w:rPr>
        <w:br/>
        <w:t xml:space="preserve">A proporcionalidade e </w:t>
      </w:r>
      <w:proofErr w:type="spellStart"/>
      <w:r>
        <w:rPr>
          <w:sz w:val="24"/>
          <w:szCs w:val="24"/>
        </w:rPr>
        <w:t>gradualidade</w:t>
      </w:r>
      <w:proofErr w:type="spellEnd"/>
      <w:r>
        <w:rPr>
          <w:sz w:val="24"/>
          <w:szCs w:val="24"/>
        </w:rPr>
        <w:t xml:space="preserve"> do mecanismo que aqui apresentamos permitiria ir aumentando a pressão política, ao mesmo tempo que a pressão financeira seria total a partir do dia 1. Para receber imediatamente </w:t>
      </w:r>
      <w:r>
        <w:rPr>
          <w:sz w:val="24"/>
          <w:szCs w:val="24"/>
        </w:rPr>
        <w:t>os fundos, o país perpetrador teria de parar de imediato com a guerra e regressar às suas posições anteriores; quanto mais tempo demorasse, menos fundos viria a receber no fim.</w:t>
      </w:r>
    </w:p>
    <w:p w14:paraId="6C290455" w14:textId="77777777" w:rsidR="00A60150" w:rsidRDefault="00A60150">
      <w:pPr>
        <w:jc w:val="both"/>
        <w:rPr>
          <w:sz w:val="24"/>
          <w:szCs w:val="24"/>
        </w:rPr>
      </w:pPr>
    </w:p>
    <w:p w14:paraId="7C98173A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O sexto pacote de sanções aprovado em Conselho Europeu aponta na direção certa</w:t>
      </w:r>
      <w:r>
        <w:rPr>
          <w:sz w:val="24"/>
          <w:szCs w:val="24"/>
        </w:rPr>
        <w:t xml:space="preserve"> naquela que deve ser a postura da União Europeia face à agressão </w:t>
      </w:r>
      <w:proofErr w:type="gramStart"/>
      <w:r>
        <w:rPr>
          <w:sz w:val="24"/>
          <w:szCs w:val="24"/>
        </w:rPr>
        <w:t>Russa</w:t>
      </w:r>
      <w:proofErr w:type="gramEnd"/>
      <w:r>
        <w:rPr>
          <w:sz w:val="24"/>
          <w:szCs w:val="24"/>
        </w:rPr>
        <w:t>, provando também que aquilo que se propõe através do presente Projeto de Resolução é ambicioso, mas perfeitamente enquadrado nas ações que a Europa está a tomar para sancionar a Federa</w:t>
      </w:r>
      <w:r>
        <w:rPr>
          <w:sz w:val="24"/>
          <w:szCs w:val="24"/>
        </w:rPr>
        <w:t xml:space="preserve">ção Russa pela sua invasão à Ucrânia. </w:t>
      </w:r>
    </w:p>
    <w:p w14:paraId="71C01111" w14:textId="77777777" w:rsidR="00A60150" w:rsidRDefault="00A60150">
      <w:pPr>
        <w:jc w:val="both"/>
        <w:rPr>
          <w:b/>
          <w:sz w:val="24"/>
          <w:szCs w:val="24"/>
        </w:rPr>
      </w:pPr>
    </w:p>
    <w:p w14:paraId="705BA2E6" w14:textId="77777777" w:rsidR="00A60150" w:rsidRDefault="00A60150">
      <w:pPr>
        <w:jc w:val="both"/>
        <w:rPr>
          <w:b/>
          <w:sz w:val="24"/>
          <w:szCs w:val="24"/>
        </w:rPr>
      </w:pPr>
    </w:p>
    <w:p w14:paraId="068536C9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Ao abrigo das disposições constitucionais e regimentais aplicáveis, o deputado do LIVRE propõe que a Assembleia da República recomende ao Governo que:</w:t>
      </w:r>
    </w:p>
    <w:p w14:paraId="3F937FC8" w14:textId="77777777" w:rsidR="00A60150" w:rsidRDefault="00A60150">
      <w:pPr>
        <w:jc w:val="both"/>
        <w:rPr>
          <w:sz w:val="24"/>
          <w:szCs w:val="24"/>
        </w:rPr>
      </w:pPr>
    </w:p>
    <w:p w14:paraId="1899EF6E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1 - Tome iniciativas, no seio do Conselho Europeu, no sentido de que a União Europeia deixe de financiar o esforço de guerra da Rússia de Putin, à semelhança das deliberações emanadas do Conselho Europeu de 30 de maio, nomeadamente o sexto pacote de sançõe</w:t>
      </w:r>
      <w:r>
        <w:rPr>
          <w:sz w:val="24"/>
          <w:szCs w:val="24"/>
        </w:rPr>
        <w:t>s à Federação Russa;</w:t>
      </w:r>
    </w:p>
    <w:p w14:paraId="64830548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2 - Se proponha a avançar o debate no Conselho Europeu, no Conselho de Negócios Estrangeiros da União Europeia e noutras formações relevantes do Conselho da União Europeia, através de um plano que envolva, em linhas gerais, os seguinte</w:t>
      </w:r>
      <w:r>
        <w:rPr>
          <w:sz w:val="24"/>
          <w:szCs w:val="24"/>
        </w:rPr>
        <w:t>s mecanismos:</w:t>
      </w:r>
    </w:p>
    <w:p w14:paraId="116E8F73" w14:textId="77777777" w:rsidR="00A60150" w:rsidRDefault="00F90B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Estabelecimento de uma conta fiduciária (“</w:t>
      </w:r>
      <w:proofErr w:type="spellStart"/>
      <w:r>
        <w:rPr>
          <w:sz w:val="24"/>
          <w:szCs w:val="24"/>
        </w:rPr>
        <w:t>Escrow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 xml:space="preserve">”) onde passem a ser depositados os pagamentos de </w:t>
      </w:r>
      <w:proofErr w:type="gramStart"/>
      <w:r>
        <w:rPr>
          <w:sz w:val="24"/>
          <w:szCs w:val="24"/>
        </w:rPr>
        <w:t>estados membros</w:t>
      </w:r>
      <w:proofErr w:type="gramEnd"/>
      <w:r>
        <w:rPr>
          <w:sz w:val="24"/>
          <w:szCs w:val="24"/>
        </w:rPr>
        <w:t xml:space="preserve"> da União Europeia por combustíveis fósseis oriundos da Federação Russa enquanto as suas tropas </w:t>
      </w:r>
      <w:r>
        <w:rPr>
          <w:sz w:val="24"/>
          <w:szCs w:val="24"/>
        </w:rPr>
        <w:lastRenderedPageBreak/>
        <w:t>não recuarem para trás da</w:t>
      </w:r>
      <w:r>
        <w:rPr>
          <w:sz w:val="24"/>
          <w:szCs w:val="24"/>
        </w:rPr>
        <w:t>s posições que ocupavam a 24 de fevereiro de 2022 ou uma saída total de território ucraniano, mediante acordo de paz;</w:t>
      </w:r>
    </w:p>
    <w:p w14:paraId="5981DEA8" w14:textId="77777777" w:rsidR="00A60150" w:rsidRDefault="00F90B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conta fiduciária descrita em a) deve ser criada junto de um estado terceiro, por exemplo pertencente à EFTA (Suíça, Noruega, Islândia e </w:t>
      </w:r>
      <w:r>
        <w:rPr>
          <w:sz w:val="24"/>
          <w:szCs w:val="24"/>
        </w:rPr>
        <w:t>Liechtenstein), que atue como fiel depositário dos fundos que para ela sejam transferidos ao abrigo das condições definidas pelo Conselho;</w:t>
      </w:r>
    </w:p>
    <w:p w14:paraId="6647AF7E" w14:textId="77777777" w:rsidR="00A60150" w:rsidRDefault="00F90B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partir de um determinado prazo definido pelo Conselho, uma percentagem crescente dos fundos presentes na conta fidu</w:t>
      </w:r>
      <w:r>
        <w:rPr>
          <w:sz w:val="24"/>
          <w:szCs w:val="24"/>
        </w:rPr>
        <w:t>ciária descrita em a) deve ser transferida para um fundo de reconstrução da Ucrânia, a título de reparações de guerra;</w:t>
      </w:r>
    </w:p>
    <w:p w14:paraId="67245428" w14:textId="77777777" w:rsidR="00A60150" w:rsidRDefault="00A60150">
      <w:pPr>
        <w:jc w:val="both"/>
        <w:rPr>
          <w:sz w:val="24"/>
          <w:szCs w:val="24"/>
        </w:rPr>
      </w:pPr>
    </w:p>
    <w:p w14:paraId="77BD6522" w14:textId="77777777" w:rsidR="00A60150" w:rsidRDefault="00F90B6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  -</w:t>
      </w:r>
      <w:proofErr w:type="gramEnd"/>
      <w:r>
        <w:rPr>
          <w:sz w:val="24"/>
          <w:szCs w:val="24"/>
        </w:rPr>
        <w:t xml:space="preserve">   Que peça aos serviços jurídicos do Conselho a realização de um parecer sobre a viabilidade e a base legal de uma proposta como a </w:t>
      </w:r>
      <w:r>
        <w:rPr>
          <w:sz w:val="24"/>
          <w:szCs w:val="24"/>
        </w:rPr>
        <w:t xml:space="preserve">descrita, em traços gerais, no ponto 2 </w:t>
      </w:r>
    </w:p>
    <w:p w14:paraId="37DDCB0E" w14:textId="77777777" w:rsidR="00A60150" w:rsidRDefault="00A60150">
      <w:pPr>
        <w:jc w:val="both"/>
        <w:rPr>
          <w:sz w:val="24"/>
          <w:szCs w:val="24"/>
        </w:rPr>
      </w:pPr>
    </w:p>
    <w:p w14:paraId="52C39BBF" w14:textId="77777777" w:rsidR="00A60150" w:rsidRDefault="00F90B6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  -</w:t>
      </w:r>
      <w:proofErr w:type="gramEnd"/>
      <w:r>
        <w:rPr>
          <w:sz w:val="24"/>
          <w:szCs w:val="24"/>
        </w:rPr>
        <w:t xml:space="preserve">  Se faça portador desta e de outras propostas que tenham como efeito a União Europeia não contribuir para o financiamento do esforço de guerra russo, seja por via direta ou indireta. </w:t>
      </w:r>
    </w:p>
    <w:p w14:paraId="353AC90D" w14:textId="77777777" w:rsidR="00A60150" w:rsidRDefault="00A60150">
      <w:pPr>
        <w:jc w:val="both"/>
        <w:rPr>
          <w:b/>
          <w:sz w:val="24"/>
          <w:szCs w:val="24"/>
        </w:rPr>
      </w:pPr>
    </w:p>
    <w:p w14:paraId="2B3FC952" w14:textId="77777777" w:rsidR="00A60150" w:rsidRDefault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Assembleia da República,</w:t>
      </w:r>
      <w:r>
        <w:rPr>
          <w:sz w:val="24"/>
          <w:szCs w:val="24"/>
        </w:rPr>
        <w:t xml:space="preserve"> 11 de abril de 2022.</w:t>
      </w:r>
    </w:p>
    <w:p w14:paraId="491B2136" w14:textId="77777777" w:rsidR="00A60150" w:rsidRDefault="00A60150">
      <w:pPr>
        <w:jc w:val="both"/>
        <w:rPr>
          <w:b/>
          <w:sz w:val="24"/>
          <w:szCs w:val="24"/>
        </w:rPr>
      </w:pPr>
    </w:p>
    <w:p w14:paraId="30D5E6F7" w14:textId="77777777" w:rsidR="00A60150" w:rsidRDefault="00A60150">
      <w:pPr>
        <w:jc w:val="center"/>
        <w:rPr>
          <w:b/>
          <w:sz w:val="24"/>
          <w:szCs w:val="24"/>
        </w:rPr>
      </w:pPr>
    </w:p>
    <w:p w14:paraId="190A5D1C" w14:textId="77777777" w:rsidR="00A60150" w:rsidRDefault="00F90B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Deputado</w:t>
      </w:r>
    </w:p>
    <w:p w14:paraId="3DA2CAAC" w14:textId="77777777" w:rsidR="00A60150" w:rsidRDefault="00A60150">
      <w:pPr>
        <w:jc w:val="center"/>
        <w:rPr>
          <w:b/>
          <w:sz w:val="24"/>
          <w:szCs w:val="24"/>
        </w:rPr>
      </w:pPr>
    </w:p>
    <w:p w14:paraId="2945F79C" w14:textId="77777777" w:rsidR="00A60150" w:rsidRDefault="00A60150">
      <w:pPr>
        <w:jc w:val="center"/>
        <w:rPr>
          <w:b/>
          <w:sz w:val="24"/>
          <w:szCs w:val="24"/>
        </w:rPr>
      </w:pPr>
    </w:p>
    <w:p w14:paraId="7C38EE50" w14:textId="77777777" w:rsidR="00A60150" w:rsidRDefault="00F90B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Rui Tavares  </w:t>
      </w:r>
    </w:p>
    <w:p w14:paraId="2F1B80AE" w14:textId="77777777" w:rsidR="00A60150" w:rsidRDefault="00A60150">
      <w:pPr>
        <w:jc w:val="center"/>
        <w:rPr>
          <w:b/>
          <w:sz w:val="24"/>
          <w:szCs w:val="24"/>
        </w:rPr>
      </w:pPr>
    </w:p>
    <w:p w14:paraId="4D245260" w14:textId="77777777" w:rsidR="00A60150" w:rsidRDefault="00A60150">
      <w:pPr>
        <w:jc w:val="center"/>
        <w:rPr>
          <w:b/>
          <w:sz w:val="24"/>
          <w:szCs w:val="24"/>
        </w:rPr>
      </w:pPr>
    </w:p>
    <w:p w14:paraId="05790B70" w14:textId="77777777" w:rsidR="00A60150" w:rsidRDefault="00A60150">
      <w:pPr>
        <w:jc w:val="both"/>
        <w:rPr>
          <w:b/>
          <w:sz w:val="24"/>
          <w:szCs w:val="24"/>
        </w:rPr>
      </w:pPr>
    </w:p>
    <w:sectPr w:rsidR="00A60150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7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07AE" w14:textId="77777777" w:rsidR="00000000" w:rsidRDefault="00F90B66">
      <w:pPr>
        <w:spacing w:line="240" w:lineRule="auto"/>
      </w:pPr>
      <w:r>
        <w:separator/>
      </w:r>
    </w:p>
  </w:endnote>
  <w:endnote w:type="continuationSeparator" w:id="0">
    <w:p w14:paraId="25D8955B" w14:textId="77777777" w:rsidR="00000000" w:rsidRDefault="00F90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3F9A" w14:textId="77777777" w:rsidR="00A60150" w:rsidRDefault="00F90B6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24B5" w14:textId="77777777" w:rsidR="00A60150" w:rsidRDefault="00F90B6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8402" w14:textId="77777777" w:rsidR="00000000" w:rsidRDefault="00F90B66">
      <w:pPr>
        <w:spacing w:line="240" w:lineRule="auto"/>
      </w:pPr>
      <w:r>
        <w:separator/>
      </w:r>
    </w:p>
  </w:footnote>
  <w:footnote w:type="continuationSeparator" w:id="0">
    <w:p w14:paraId="6B6611F2" w14:textId="77777777" w:rsidR="00000000" w:rsidRDefault="00F90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44B9" w14:textId="77777777" w:rsidR="00A60150" w:rsidRDefault="00A60150">
    <w:pPr>
      <w:jc w:val="cent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3507" w14:textId="77777777" w:rsidR="00A60150" w:rsidRDefault="00F90B66">
    <w:pPr>
      <w:jc w:val="center"/>
    </w:pPr>
    <w:r>
      <w:rPr>
        <w:b/>
        <w:noProof/>
        <w:sz w:val="16"/>
        <w:szCs w:val="16"/>
      </w:rPr>
      <w:drawing>
        <wp:anchor distT="0" distB="0" distL="114300" distR="114300" simplePos="0" relativeHeight="251658240" behindDoc="0" locked="0" layoutInCell="1" hidden="0" allowOverlap="1" wp14:anchorId="04C6B03A" wp14:editId="55635478">
          <wp:simplePos x="0" y="0"/>
          <wp:positionH relativeFrom="margin">
            <wp:posOffset>1755938</wp:posOffset>
          </wp:positionH>
          <wp:positionV relativeFrom="topMargin">
            <wp:posOffset>419100</wp:posOffset>
          </wp:positionV>
          <wp:extent cx="2215433" cy="1062038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5433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Deputado Único Representante do Partido LIVRE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84B5E"/>
    <w:multiLevelType w:val="multilevel"/>
    <w:tmpl w:val="2FE6EF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50"/>
    <w:rsid w:val="00A60150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E0E8"/>
  <w15:docId w15:val="{E8304966-0240-48C4-8B08-F21F4380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2022-06-01T23:00:00+00:00</DataDocumento>
    <NomeOriginalFicheiro xmlns="http://schemas.microsoft.com/sharepoint/v3">pjr22-XV-sub.docx</NomeOriginalFicheiro>
    <IDFase xmlns="http://schemas.microsoft.com/sharepoint/v3">0</IDFase>
    <NRIniciativa xmlns="http://schemas.microsoft.com/sharepoint/v3">22</NRIniciativa>
    <IDIniciativa xmlns="http://schemas.microsoft.com/sharepoint/v3">121389</IDIniciativa>
  </documentManagement>
</p:properties>
</file>

<file path=customXml/itemProps1.xml><?xml version="1.0" encoding="utf-8"?>
<ds:datastoreItem xmlns:ds="http://schemas.openxmlformats.org/officeDocument/2006/customXml" ds:itemID="{74528251-85C6-4B98-90FB-DE919C2838A1}"/>
</file>

<file path=customXml/itemProps2.xml><?xml version="1.0" encoding="utf-8"?>
<ds:datastoreItem xmlns:ds="http://schemas.openxmlformats.org/officeDocument/2006/customXml" ds:itemID="{7A7C3AC5-20DB-480D-A2C7-443712676740}"/>
</file>

<file path=customXml/itemProps3.xml><?xml version="1.0" encoding="utf-8"?>
<ds:datastoreItem xmlns:ds="http://schemas.openxmlformats.org/officeDocument/2006/customXml" ds:itemID="{F50F16DF-BF9D-4EAB-B2AB-CD2CFFC08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7850</Characters>
  <Application>Microsoft Office Word</Application>
  <DocSecurity>4</DocSecurity>
  <Lines>65</Lines>
  <Paragraphs>18</Paragraphs>
  <ScaleCrop>false</ScaleCrop>
  <Company>Assembleia da República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Virginia Francisco</dc:creator>
  <cp:lastModifiedBy>Virginia Francisco</cp:lastModifiedBy>
  <cp:revision>2</cp:revision>
  <cp:lastPrinted>2022-06-03T09:03:00Z</cp:lastPrinted>
  <dcterms:created xsi:type="dcterms:W3CDTF">2022-06-03T09:04:00Z</dcterms:created>
  <dcterms:modified xsi:type="dcterms:W3CDTF">2022-06-03T09:04:00Z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69000</vt:r8>
  </property>
</Properties>
</file>