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68CE" w14:textId="77777777" w:rsidR="00477E01" w:rsidRPr="00F2593E" w:rsidRDefault="00477E01">
      <w:pPr>
        <w:widowControl w:val="0"/>
        <w:spacing w:line="360" w:lineRule="auto"/>
        <w:jc w:val="both"/>
        <w:rPr>
          <w:rFonts w:asciiTheme="minorHAnsi" w:eastAsia="Calibri" w:hAnsiTheme="minorHAnsi" w:cstheme="minorHAnsi"/>
          <w:b/>
        </w:rPr>
      </w:pPr>
    </w:p>
    <w:p w14:paraId="41869176" w14:textId="679C3018" w:rsidR="00477E01" w:rsidRPr="00F2593E" w:rsidRDefault="00DE072E">
      <w:pPr>
        <w:jc w:val="center"/>
        <w:rPr>
          <w:rFonts w:asciiTheme="minorHAnsi" w:eastAsia="Calibri" w:hAnsiTheme="minorHAnsi" w:cstheme="minorHAnsi"/>
          <w:b/>
          <w:sz w:val="28"/>
          <w:szCs w:val="28"/>
        </w:rPr>
      </w:pPr>
      <w:bookmarkStart w:id="0" w:name="_heading=h.35nkun2" w:colFirst="0" w:colLast="0"/>
      <w:bookmarkEnd w:id="0"/>
      <w:r w:rsidRPr="00F2593E">
        <w:rPr>
          <w:rFonts w:asciiTheme="minorHAnsi" w:eastAsia="Calibri" w:hAnsiTheme="minorHAnsi" w:cstheme="minorHAnsi"/>
          <w:b/>
          <w:sz w:val="28"/>
          <w:szCs w:val="28"/>
        </w:rPr>
        <w:t xml:space="preserve">Projeto de Lei n.º </w:t>
      </w:r>
      <w:r w:rsidR="00F059A4">
        <w:rPr>
          <w:rFonts w:asciiTheme="minorHAnsi" w:eastAsia="Calibri" w:hAnsiTheme="minorHAnsi" w:cstheme="minorHAnsi"/>
          <w:b/>
          <w:sz w:val="28"/>
          <w:szCs w:val="28"/>
        </w:rPr>
        <w:t>365</w:t>
      </w:r>
      <w:r w:rsidRPr="00F2593E">
        <w:rPr>
          <w:rFonts w:asciiTheme="minorHAnsi" w:eastAsia="Calibri" w:hAnsiTheme="minorHAnsi" w:cstheme="minorHAnsi"/>
          <w:b/>
          <w:sz w:val="28"/>
          <w:szCs w:val="28"/>
        </w:rPr>
        <w:t>/XV/1.ª</w:t>
      </w:r>
    </w:p>
    <w:p w14:paraId="6287218C" w14:textId="77777777" w:rsidR="00477E01" w:rsidRPr="00F2593E" w:rsidRDefault="00477E01">
      <w:pPr>
        <w:jc w:val="center"/>
        <w:rPr>
          <w:rFonts w:asciiTheme="minorHAnsi" w:eastAsia="Calibri" w:hAnsiTheme="minorHAnsi" w:cstheme="minorHAnsi"/>
          <w:b/>
          <w:sz w:val="28"/>
          <w:szCs w:val="28"/>
        </w:rPr>
      </w:pPr>
    </w:p>
    <w:p w14:paraId="751EF536" w14:textId="77777777" w:rsidR="00477E01" w:rsidRPr="00F2593E" w:rsidRDefault="00DE072E">
      <w:pPr>
        <w:jc w:val="center"/>
        <w:rPr>
          <w:rFonts w:asciiTheme="minorHAnsi" w:eastAsia="Calibri" w:hAnsiTheme="minorHAnsi" w:cstheme="minorHAnsi"/>
          <w:b/>
          <w:sz w:val="28"/>
          <w:szCs w:val="28"/>
        </w:rPr>
      </w:pPr>
      <w:bookmarkStart w:id="1" w:name="_heading=h.1ksv4uv" w:colFirst="0" w:colLast="0"/>
      <w:bookmarkEnd w:id="1"/>
      <w:r w:rsidRPr="00F2593E">
        <w:rPr>
          <w:rFonts w:asciiTheme="minorHAnsi" w:eastAsia="Calibri" w:hAnsiTheme="minorHAnsi" w:cstheme="minorHAnsi"/>
          <w:b/>
          <w:sz w:val="28"/>
          <w:szCs w:val="28"/>
        </w:rPr>
        <w:t>Prolonga de 3 para 5 anos o período da isenção temporária de IMI para a aquisição de imóveis para habitação própria permanente, alterando o Estatuto dos Benefícios Fiscais</w:t>
      </w:r>
    </w:p>
    <w:p w14:paraId="3FB21466" w14:textId="77777777" w:rsidR="00477E01" w:rsidRPr="00F2593E" w:rsidRDefault="00477E01">
      <w:pPr>
        <w:spacing w:line="360" w:lineRule="auto"/>
        <w:jc w:val="center"/>
        <w:rPr>
          <w:rFonts w:asciiTheme="minorHAnsi" w:eastAsia="Calibri" w:hAnsiTheme="minorHAnsi" w:cstheme="minorHAnsi"/>
          <w:b/>
          <w:highlight w:val="white"/>
        </w:rPr>
      </w:pPr>
    </w:p>
    <w:p w14:paraId="2DC56998" w14:textId="77777777" w:rsidR="00477E01" w:rsidRPr="00F2593E" w:rsidRDefault="00DE072E">
      <w:pPr>
        <w:spacing w:line="360" w:lineRule="auto"/>
        <w:jc w:val="center"/>
        <w:rPr>
          <w:rFonts w:asciiTheme="minorHAnsi" w:eastAsia="Calibri" w:hAnsiTheme="minorHAnsi" w:cstheme="minorHAnsi"/>
          <w:b/>
          <w:highlight w:val="white"/>
        </w:rPr>
      </w:pPr>
      <w:r w:rsidRPr="00F2593E">
        <w:rPr>
          <w:rFonts w:asciiTheme="minorHAnsi" w:eastAsia="Calibri" w:hAnsiTheme="minorHAnsi" w:cstheme="minorHAnsi"/>
          <w:b/>
          <w:highlight w:val="white"/>
        </w:rPr>
        <w:t>Exposição de motivos</w:t>
      </w:r>
    </w:p>
    <w:p w14:paraId="0970AC36" w14:textId="77777777" w:rsidR="00477E01" w:rsidRPr="00F2593E" w:rsidRDefault="00477E01">
      <w:pPr>
        <w:spacing w:line="360" w:lineRule="auto"/>
        <w:jc w:val="both"/>
        <w:rPr>
          <w:rFonts w:asciiTheme="minorHAnsi" w:eastAsia="Calibri" w:hAnsiTheme="minorHAnsi" w:cstheme="minorHAnsi"/>
          <w:highlight w:val="white"/>
        </w:rPr>
      </w:pPr>
    </w:p>
    <w:p w14:paraId="428B4BBD" w14:textId="0CAED52D" w:rsidR="00477E01" w:rsidRPr="00F2593E" w:rsidRDefault="00DE072E">
      <w:pPr>
        <w:spacing w:line="360" w:lineRule="auto"/>
        <w:jc w:val="both"/>
        <w:rPr>
          <w:rFonts w:asciiTheme="minorHAnsi" w:eastAsia="Calibri" w:hAnsiTheme="minorHAnsi" w:cstheme="minorHAnsi"/>
          <w:highlight w:val="white"/>
        </w:rPr>
      </w:pPr>
      <w:r w:rsidRPr="00F2593E">
        <w:rPr>
          <w:rFonts w:asciiTheme="minorHAnsi" w:eastAsia="Calibri" w:hAnsiTheme="minorHAnsi" w:cstheme="minorHAnsi"/>
          <w:highlight w:val="white"/>
        </w:rPr>
        <w:t xml:space="preserve">O contexto de crise provocado pela guerra na Ucrânia e pelos últimos impactos da COVID-19, associado à postura dura adotada pelo Banco Central Europeu nos últimos meses, tem gerado um aumento em flecha das taxas de juro – a taxa de referência do BCE aumentou em 0,5% em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ulho e em 0,75% em início de </w:t>
      </w:r>
      <w:r w:rsidR="00F2593E" w:rsidRPr="00F2593E">
        <w:rPr>
          <w:rFonts w:asciiTheme="minorHAnsi" w:eastAsia="Calibri" w:hAnsiTheme="minorHAnsi" w:cstheme="minorHAnsi"/>
          <w:highlight w:val="white"/>
        </w:rPr>
        <w:t>s</w:t>
      </w:r>
      <w:r w:rsidRPr="00F2593E">
        <w:rPr>
          <w:rFonts w:asciiTheme="minorHAnsi" w:eastAsia="Calibri" w:hAnsiTheme="minorHAnsi" w:cstheme="minorHAnsi"/>
          <w:highlight w:val="white"/>
        </w:rPr>
        <w:t xml:space="preserve">etembro e as taxas de Euribor a 6 meses (a mais usada nos créditos à habitação em Portugal) atingiram valores positivos e máximos históricos, havendo previsões que apontam para 2,5% em </w:t>
      </w:r>
      <w:r w:rsidR="00F2593E" w:rsidRPr="00F2593E">
        <w:rPr>
          <w:rFonts w:asciiTheme="minorHAnsi" w:eastAsia="Calibri" w:hAnsiTheme="minorHAnsi" w:cstheme="minorHAnsi"/>
          <w:highlight w:val="white"/>
        </w:rPr>
        <w:t>m</w:t>
      </w:r>
      <w:r w:rsidRPr="00F2593E">
        <w:rPr>
          <w:rFonts w:asciiTheme="minorHAnsi" w:eastAsia="Calibri" w:hAnsiTheme="minorHAnsi" w:cstheme="minorHAnsi"/>
          <w:highlight w:val="white"/>
        </w:rPr>
        <w:t>aio 2023.</w:t>
      </w:r>
    </w:p>
    <w:p w14:paraId="74E56D5F" w14:textId="77777777" w:rsidR="00477E01" w:rsidRPr="00F2593E" w:rsidRDefault="00477E01">
      <w:pPr>
        <w:spacing w:line="360" w:lineRule="auto"/>
        <w:jc w:val="both"/>
        <w:rPr>
          <w:rFonts w:asciiTheme="minorHAnsi" w:eastAsia="Calibri" w:hAnsiTheme="minorHAnsi" w:cstheme="minorHAnsi"/>
          <w:highlight w:val="white"/>
        </w:rPr>
      </w:pPr>
    </w:p>
    <w:p w14:paraId="20A1BBF1" w14:textId="7BB365D7" w:rsidR="00477E01" w:rsidRPr="00F2593E" w:rsidRDefault="00DE072E">
      <w:pPr>
        <w:spacing w:line="360" w:lineRule="auto"/>
        <w:jc w:val="both"/>
        <w:rPr>
          <w:rFonts w:asciiTheme="minorHAnsi" w:eastAsia="Calibri" w:hAnsiTheme="minorHAnsi" w:cstheme="minorHAnsi"/>
          <w:highlight w:val="white"/>
        </w:rPr>
      </w:pPr>
      <w:r w:rsidRPr="00F2593E">
        <w:rPr>
          <w:rFonts w:asciiTheme="minorHAnsi" w:eastAsia="Calibri" w:hAnsiTheme="minorHAnsi" w:cstheme="minorHAnsi"/>
          <w:highlight w:val="white"/>
        </w:rPr>
        <w:t xml:space="preserve">Este aumento em flecha tem gerado e vai continuar a gerar um forte impacto no rendimento das famílias em Portugal. De acordo com os dados apresentados no mês de </w:t>
      </w:r>
      <w:r w:rsidR="00F2593E" w:rsidRPr="00F2593E">
        <w:rPr>
          <w:rFonts w:asciiTheme="minorHAnsi" w:eastAsia="Calibri" w:hAnsiTheme="minorHAnsi" w:cstheme="minorHAnsi"/>
          <w:highlight w:val="white"/>
        </w:rPr>
        <w:t>s</w:t>
      </w:r>
      <w:r w:rsidRPr="00F2593E">
        <w:rPr>
          <w:rFonts w:asciiTheme="minorHAnsi" w:eastAsia="Calibri" w:hAnsiTheme="minorHAnsi" w:cstheme="minorHAnsi"/>
          <w:highlight w:val="white"/>
        </w:rPr>
        <w:t xml:space="preserve">etembro pelo INE, comparativamente com o mês de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ulho e com referência aos contratos de crédito à habitação celebrado nos últimos 3 meses, a taxa de juro subiu para 1,523%, a prestação média subiu 4 euros (para 268 euros) e o valor médio da prestação subiu 20 euros (para 445 euros). De acordo com estes dados do INE, entre </w:t>
      </w:r>
      <w:r w:rsidR="00F2593E" w:rsidRPr="00F2593E">
        <w:rPr>
          <w:rFonts w:asciiTheme="minorHAnsi" w:eastAsia="Calibri" w:hAnsiTheme="minorHAnsi" w:cstheme="minorHAnsi"/>
          <w:highlight w:val="white"/>
        </w:rPr>
        <w:t>a</w:t>
      </w:r>
      <w:r w:rsidRPr="00F2593E">
        <w:rPr>
          <w:rFonts w:asciiTheme="minorHAnsi" w:eastAsia="Calibri" w:hAnsiTheme="minorHAnsi" w:cstheme="minorHAnsi"/>
          <w:highlight w:val="white"/>
        </w:rPr>
        <w:t xml:space="preserve">gosto de 2021 e </w:t>
      </w:r>
      <w:r w:rsidR="00F2593E" w:rsidRPr="00F2593E">
        <w:rPr>
          <w:rFonts w:asciiTheme="minorHAnsi" w:eastAsia="Calibri" w:hAnsiTheme="minorHAnsi" w:cstheme="minorHAnsi"/>
          <w:highlight w:val="white"/>
        </w:rPr>
        <w:t>a</w:t>
      </w:r>
      <w:r w:rsidRPr="00F2593E">
        <w:rPr>
          <w:rFonts w:asciiTheme="minorHAnsi" w:eastAsia="Calibri" w:hAnsiTheme="minorHAnsi" w:cstheme="minorHAnsi"/>
          <w:highlight w:val="white"/>
        </w:rPr>
        <w:t>gosto de 2022, a prestação média nos créditos à habitação subiu 32 euros.</w:t>
      </w:r>
    </w:p>
    <w:p w14:paraId="77B3CBB6" w14:textId="77777777" w:rsidR="00477E01" w:rsidRPr="00F2593E" w:rsidRDefault="00477E01">
      <w:pPr>
        <w:spacing w:line="360" w:lineRule="auto"/>
        <w:jc w:val="both"/>
        <w:rPr>
          <w:rFonts w:asciiTheme="minorHAnsi" w:eastAsia="Calibri" w:hAnsiTheme="minorHAnsi" w:cstheme="minorHAnsi"/>
          <w:highlight w:val="white"/>
        </w:rPr>
      </w:pPr>
    </w:p>
    <w:p w14:paraId="479B0A0A" w14:textId="1B64E936" w:rsidR="00477E01" w:rsidRPr="00F2593E" w:rsidRDefault="00DE072E">
      <w:pPr>
        <w:spacing w:line="360" w:lineRule="auto"/>
        <w:jc w:val="both"/>
        <w:rPr>
          <w:rFonts w:asciiTheme="minorHAnsi" w:eastAsia="Calibri" w:hAnsiTheme="minorHAnsi" w:cstheme="minorHAnsi"/>
          <w:highlight w:val="white"/>
        </w:rPr>
      </w:pPr>
      <w:r w:rsidRPr="00F2593E">
        <w:rPr>
          <w:rFonts w:asciiTheme="minorHAnsi" w:eastAsia="Calibri" w:hAnsiTheme="minorHAnsi" w:cstheme="minorHAnsi"/>
          <w:highlight w:val="white"/>
        </w:rPr>
        <w:t xml:space="preserve">Por sua vez, as simulações apresentadas pela Deco Proteste demonstram-nos que entre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aneiro de 2022 e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ulho de 2023 nos contratos de crédito à habitação a 30 anos e com Euribor a 6 meses as prestações poderão ter uma subida de 59%. Isto significa que num crédito de 200 mil euros em que a prestação mensal, em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aneiro de 2022, era de 594 euros, se verificou uma subida da prestação para 658 de euros em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ulho deste ano e que </w:t>
      </w:r>
      <w:r w:rsidRPr="00F2593E">
        <w:rPr>
          <w:rFonts w:asciiTheme="minorHAnsi" w:eastAsia="Calibri" w:hAnsiTheme="minorHAnsi" w:cstheme="minorHAnsi"/>
          <w:highlight w:val="white"/>
        </w:rPr>
        <w:lastRenderedPageBreak/>
        <w:t xml:space="preserve">esse valor subirá para 896 de euros em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aneiro de 2023 e para 943 euros em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 xml:space="preserve">ulho de 2023. Desta forma, uma família com um empréstimo deste tipo num ano terá um incremento de 51% (correspondente a mais 302 euros) e até </w:t>
      </w:r>
      <w:r w:rsidR="00F2593E" w:rsidRPr="00F2593E">
        <w:rPr>
          <w:rFonts w:asciiTheme="minorHAnsi" w:eastAsia="Calibri" w:hAnsiTheme="minorHAnsi" w:cstheme="minorHAnsi"/>
          <w:highlight w:val="white"/>
        </w:rPr>
        <w:t>j</w:t>
      </w:r>
      <w:r w:rsidRPr="00F2593E">
        <w:rPr>
          <w:rFonts w:asciiTheme="minorHAnsi" w:eastAsia="Calibri" w:hAnsiTheme="minorHAnsi" w:cstheme="minorHAnsi"/>
          <w:highlight w:val="white"/>
        </w:rPr>
        <w:t>ulho do próximo ano um aumento de 59% (correspondente a mais 349 euros).</w:t>
      </w:r>
    </w:p>
    <w:p w14:paraId="21DD0477" w14:textId="77777777" w:rsidR="00477E01" w:rsidRPr="00F2593E" w:rsidRDefault="00477E01">
      <w:pPr>
        <w:spacing w:line="360" w:lineRule="auto"/>
        <w:jc w:val="both"/>
        <w:rPr>
          <w:rFonts w:asciiTheme="minorHAnsi" w:eastAsia="Calibri" w:hAnsiTheme="minorHAnsi" w:cstheme="minorHAnsi"/>
          <w:highlight w:val="white"/>
        </w:rPr>
      </w:pPr>
    </w:p>
    <w:p w14:paraId="3701131C" w14:textId="77777777" w:rsidR="00477E01" w:rsidRPr="00F2593E" w:rsidRDefault="00DE072E">
      <w:pPr>
        <w:spacing w:line="360" w:lineRule="auto"/>
        <w:jc w:val="both"/>
        <w:rPr>
          <w:rFonts w:asciiTheme="minorHAnsi" w:eastAsia="Calibri" w:hAnsiTheme="minorHAnsi" w:cstheme="minorHAnsi"/>
          <w:highlight w:val="white"/>
        </w:rPr>
      </w:pPr>
      <w:r w:rsidRPr="00F2593E">
        <w:rPr>
          <w:rFonts w:asciiTheme="minorHAnsi" w:eastAsia="Calibri" w:hAnsiTheme="minorHAnsi" w:cstheme="minorHAnsi"/>
          <w:highlight w:val="white"/>
        </w:rPr>
        <w:t>Estes dados e o preocupante impacto que estes aumentos poderão ter nos rendimentos das famílias, demonstram-nos a necessidade de se adotarem medidas fiscais de apoio às famílias com créditos à habitação, a cujas necessidades as medidas aprovadas pelo Governo acodem apenas parcialmente.</w:t>
      </w:r>
    </w:p>
    <w:p w14:paraId="3F46F6C2" w14:textId="77777777" w:rsidR="00477E01" w:rsidRPr="00F2593E" w:rsidRDefault="00477E01">
      <w:pPr>
        <w:spacing w:line="360" w:lineRule="auto"/>
        <w:jc w:val="both"/>
        <w:rPr>
          <w:rFonts w:asciiTheme="minorHAnsi" w:eastAsia="Calibri" w:hAnsiTheme="minorHAnsi" w:cstheme="minorHAnsi"/>
          <w:highlight w:val="white"/>
        </w:rPr>
      </w:pPr>
    </w:p>
    <w:p w14:paraId="2075454C" w14:textId="77777777" w:rsidR="00477E01" w:rsidRPr="00F2593E" w:rsidRDefault="00DE072E">
      <w:pPr>
        <w:spacing w:line="360" w:lineRule="auto"/>
        <w:jc w:val="both"/>
        <w:rPr>
          <w:rFonts w:asciiTheme="minorHAnsi" w:eastAsia="Calibri" w:hAnsiTheme="minorHAnsi" w:cstheme="minorHAnsi"/>
          <w:highlight w:val="white"/>
        </w:rPr>
      </w:pPr>
      <w:r w:rsidRPr="00F2593E">
        <w:rPr>
          <w:rFonts w:asciiTheme="minorHAnsi" w:eastAsia="Calibri" w:hAnsiTheme="minorHAnsi" w:cstheme="minorHAnsi"/>
          <w:highlight w:val="white"/>
        </w:rPr>
        <w:t>Face ao exposto e à inação do Governo, com a presente proposta o PAN pretende prolongar de 3 para 5 anos o período da isenção temporária de IMI para a aquisição de imóveis para habitação própria permanente, prevista no artigo</w:t>
      </w:r>
      <w:r w:rsidRPr="00F2593E">
        <w:rPr>
          <w:rFonts w:asciiTheme="minorHAnsi" w:hAnsiTheme="minorHAnsi" w:cstheme="minorHAnsi"/>
        </w:rPr>
        <w:t xml:space="preserve"> </w:t>
      </w:r>
      <w:r w:rsidRPr="00F2593E">
        <w:rPr>
          <w:rFonts w:asciiTheme="minorHAnsi" w:eastAsia="Calibri" w:hAnsiTheme="minorHAnsi" w:cstheme="minorHAnsi"/>
          <w:highlight w:val="white"/>
        </w:rPr>
        <w:t>46.º do Estatuto dos Benefícios Fiscais, por forma a aliviar as famílias que contraíram crédito à habitação nos últimos anos e que por esse motivo poderão ter prestações maiores. Esta medida poderá ser, também, uma compensação destas famílias por não terem acesso à possibilidade de dedução de despesas com juros no âmbito do IRS.</w:t>
      </w:r>
    </w:p>
    <w:p w14:paraId="4DF03FC3" w14:textId="77777777" w:rsidR="00477E01" w:rsidRPr="00F2593E" w:rsidRDefault="00477E01">
      <w:pPr>
        <w:spacing w:line="360" w:lineRule="auto"/>
        <w:jc w:val="both"/>
        <w:rPr>
          <w:rFonts w:asciiTheme="minorHAnsi" w:eastAsia="Calibri" w:hAnsiTheme="minorHAnsi" w:cstheme="minorHAnsi"/>
          <w:highlight w:val="white"/>
        </w:rPr>
      </w:pPr>
    </w:p>
    <w:p w14:paraId="14CAFCCD" w14:textId="77777777" w:rsidR="00477E01" w:rsidRPr="00F2593E" w:rsidRDefault="00DE072E">
      <w:pPr>
        <w:spacing w:after="240" w:line="360" w:lineRule="auto"/>
        <w:jc w:val="both"/>
        <w:rPr>
          <w:rFonts w:asciiTheme="minorHAnsi" w:eastAsia="Calibri" w:hAnsiTheme="minorHAnsi" w:cstheme="minorHAnsi"/>
          <w:highlight w:val="white"/>
        </w:rPr>
      </w:pPr>
      <w:r w:rsidRPr="00F2593E">
        <w:rPr>
          <w:rFonts w:asciiTheme="minorHAnsi" w:eastAsia="Calibri" w:hAnsiTheme="minorHAnsi" w:cstheme="minorHAnsi"/>
          <w:highlight w:val="white"/>
        </w:rPr>
        <w:t>Pelo exposto, e ao abrigo das disposições constitucionais e regimentais aplicáveis, a abaixo assinada Deputada Única do PESSOAS-ANIMAIS-NATUREZA, apresenta o seguinte Projeto de Lei:</w:t>
      </w:r>
    </w:p>
    <w:p w14:paraId="4A50F999" w14:textId="1F6E1119" w:rsidR="00477E01" w:rsidRPr="00F2593E" w:rsidRDefault="00477E01">
      <w:pPr>
        <w:widowControl w:val="0"/>
        <w:pBdr>
          <w:top w:val="nil"/>
          <w:left w:val="nil"/>
          <w:bottom w:val="nil"/>
          <w:right w:val="nil"/>
          <w:between w:val="nil"/>
        </w:pBdr>
        <w:jc w:val="center"/>
        <w:rPr>
          <w:rFonts w:asciiTheme="minorHAnsi" w:eastAsia="Calibri" w:hAnsiTheme="minorHAnsi" w:cstheme="minorHAnsi"/>
          <w:b/>
          <w:color w:val="000000"/>
        </w:rPr>
      </w:pPr>
    </w:p>
    <w:p w14:paraId="5C92AC5E" w14:textId="77777777" w:rsidR="00F2593E" w:rsidRPr="00F2593E" w:rsidRDefault="00F2593E">
      <w:pPr>
        <w:widowControl w:val="0"/>
        <w:pBdr>
          <w:top w:val="nil"/>
          <w:left w:val="nil"/>
          <w:bottom w:val="nil"/>
          <w:right w:val="nil"/>
          <w:between w:val="nil"/>
        </w:pBdr>
        <w:jc w:val="center"/>
        <w:rPr>
          <w:rFonts w:asciiTheme="minorHAnsi" w:eastAsia="Calibri" w:hAnsiTheme="minorHAnsi" w:cstheme="minorHAnsi"/>
          <w:b/>
          <w:color w:val="000000"/>
        </w:rPr>
      </w:pPr>
    </w:p>
    <w:p w14:paraId="1F84341B" w14:textId="77777777" w:rsidR="00477E01" w:rsidRPr="00F2593E" w:rsidRDefault="00DE072E">
      <w:pPr>
        <w:spacing w:line="360" w:lineRule="auto"/>
        <w:jc w:val="center"/>
        <w:rPr>
          <w:rFonts w:asciiTheme="minorHAnsi" w:eastAsia="Calibri" w:hAnsiTheme="minorHAnsi" w:cstheme="minorHAnsi"/>
        </w:rPr>
      </w:pPr>
      <w:r w:rsidRPr="00F2593E">
        <w:rPr>
          <w:rFonts w:asciiTheme="minorHAnsi" w:eastAsia="Calibri" w:hAnsiTheme="minorHAnsi" w:cstheme="minorHAnsi"/>
        </w:rPr>
        <w:t>Artigo 1.º</w:t>
      </w:r>
    </w:p>
    <w:p w14:paraId="2DCFBB43" w14:textId="77777777" w:rsidR="00477E01" w:rsidRPr="00F2593E" w:rsidRDefault="00DE072E">
      <w:pPr>
        <w:spacing w:line="360" w:lineRule="auto"/>
        <w:jc w:val="center"/>
        <w:rPr>
          <w:rFonts w:asciiTheme="minorHAnsi" w:eastAsia="Calibri" w:hAnsiTheme="minorHAnsi" w:cstheme="minorHAnsi"/>
          <w:b/>
        </w:rPr>
      </w:pPr>
      <w:r w:rsidRPr="00F2593E">
        <w:rPr>
          <w:rFonts w:asciiTheme="minorHAnsi" w:eastAsia="Calibri" w:hAnsiTheme="minorHAnsi" w:cstheme="minorHAnsi"/>
          <w:b/>
        </w:rPr>
        <w:t>Objeto</w:t>
      </w:r>
    </w:p>
    <w:p w14:paraId="154FCFCF" w14:textId="77777777" w:rsidR="00477E01" w:rsidRPr="00F2593E" w:rsidRDefault="00DE072E">
      <w:pPr>
        <w:spacing w:line="360" w:lineRule="auto"/>
        <w:jc w:val="both"/>
        <w:rPr>
          <w:rFonts w:asciiTheme="minorHAnsi" w:eastAsia="Calibri" w:hAnsiTheme="minorHAnsi" w:cstheme="minorHAnsi"/>
        </w:rPr>
      </w:pPr>
      <w:bookmarkStart w:id="2" w:name="_heading=h.44sinio" w:colFirst="0" w:colLast="0"/>
      <w:bookmarkEnd w:id="2"/>
      <w:r w:rsidRPr="00F2593E">
        <w:rPr>
          <w:rFonts w:asciiTheme="minorHAnsi" w:eastAsia="Calibri" w:hAnsiTheme="minorHAnsi" w:cstheme="minorHAnsi"/>
        </w:rPr>
        <w:t>A presente lei procede à alteração do Estatuto dos Benefícios Fiscais, aprovado pelo Decreto-Lei n.º 215/89, de 1 de julho, na sua redação atual.</w:t>
      </w:r>
    </w:p>
    <w:p w14:paraId="31E40334" w14:textId="01EB8C83" w:rsidR="00477E01" w:rsidRPr="00F2593E" w:rsidRDefault="00477E01">
      <w:pPr>
        <w:spacing w:line="276" w:lineRule="auto"/>
        <w:jc w:val="both"/>
        <w:rPr>
          <w:rFonts w:asciiTheme="minorHAnsi" w:eastAsia="Calibri" w:hAnsiTheme="minorHAnsi" w:cstheme="minorHAnsi"/>
        </w:rPr>
      </w:pPr>
    </w:p>
    <w:p w14:paraId="447A2274" w14:textId="77777777" w:rsidR="00F2593E" w:rsidRPr="00F2593E" w:rsidRDefault="00F2593E">
      <w:pPr>
        <w:spacing w:line="276" w:lineRule="auto"/>
        <w:jc w:val="both"/>
        <w:rPr>
          <w:rFonts w:asciiTheme="minorHAnsi" w:eastAsia="Calibri" w:hAnsiTheme="minorHAnsi" w:cstheme="minorHAnsi"/>
        </w:rPr>
      </w:pPr>
    </w:p>
    <w:p w14:paraId="135BB4EA" w14:textId="77777777" w:rsidR="00477E01" w:rsidRPr="00F2593E" w:rsidRDefault="00DE072E">
      <w:pPr>
        <w:spacing w:line="276" w:lineRule="auto"/>
        <w:jc w:val="center"/>
        <w:rPr>
          <w:rFonts w:asciiTheme="minorHAnsi" w:eastAsia="Calibri" w:hAnsiTheme="minorHAnsi" w:cstheme="minorHAnsi"/>
        </w:rPr>
      </w:pPr>
      <w:r w:rsidRPr="00F2593E">
        <w:rPr>
          <w:rFonts w:asciiTheme="minorHAnsi" w:eastAsia="Calibri" w:hAnsiTheme="minorHAnsi" w:cstheme="minorHAnsi"/>
        </w:rPr>
        <w:t>Artigo 2.º</w:t>
      </w:r>
    </w:p>
    <w:p w14:paraId="40383260" w14:textId="77777777" w:rsidR="00477E01" w:rsidRPr="00F2593E" w:rsidRDefault="00DE072E">
      <w:pPr>
        <w:spacing w:line="276" w:lineRule="auto"/>
        <w:jc w:val="center"/>
        <w:rPr>
          <w:rFonts w:asciiTheme="minorHAnsi" w:eastAsia="Calibri" w:hAnsiTheme="minorHAnsi" w:cstheme="minorHAnsi"/>
          <w:b/>
        </w:rPr>
      </w:pPr>
      <w:r w:rsidRPr="00F2593E">
        <w:rPr>
          <w:rFonts w:asciiTheme="minorHAnsi" w:eastAsia="Calibri" w:hAnsiTheme="minorHAnsi" w:cstheme="minorHAnsi"/>
          <w:b/>
        </w:rPr>
        <w:lastRenderedPageBreak/>
        <w:t>Alteração ao Estatuto dos Benefícios Fiscais</w:t>
      </w:r>
    </w:p>
    <w:p w14:paraId="46F15DA6" w14:textId="77777777" w:rsidR="00477E01" w:rsidRPr="00F2593E" w:rsidRDefault="00DE072E">
      <w:pPr>
        <w:spacing w:line="276" w:lineRule="auto"/>
        <w:jc w:val="both"/>
        <w:rPr>
          <w:rFonts w:asciiTheme="minorHAnsi" w:eastAsia="Calibri" w:hAnsiTheme="minorHAnsi" w:cstheme="minorHAnsi"/>
        </w:rPr>
      </w:pPr>
      <w:bookmarkStart w:id="3" w:name="_heading=h.2jxsxqh" w:colFirst="0" w:colLast="0"/>
      <w:bookmarkEnd w:id="3"/>
      <w:r w:rsidRPr="00F2593E">
        <w:rPr>
          <w:rFonts w:asciiTheme="minorHAnsi" w:eastAsia="Calibri" w:hAnsiTheme="minorHAnsi" w:cstheme="minorHAnsi"/>
        </w:rPr>
        <w:t>É alterado o artigo 46.º do Estatuto dos Benefícios Fiscais, aprovado pelo Decreto-Lei n.º 215/89, de 1 de julho, que passa a ter a seguinte redação:</w:t>
      </w:r>
    </w:p>
    <w:p w14:paraId="34A27BCD" w14:textId="77777777" w:rsidR="00477E01" w:rsidRPr="00F2593E" w:rsidRDefault="00DE072E">
      <w:pPr>
        <w:spacing w:line="276" w:lineRule="auto"/>
        <w:jc w:val="center"/>
        <w:rPr>
          <w:rFonts w:asciiTheme="minorHAnsi" w:eastAsia="Calibri" w:hAnsiTheme="minorHAnsi" w:cstheme="minorHAnsi"/>
        </w:rPr>
      </w:pPr>
      <w:r w:rsidRPr="00F2593E">
        <w:rPr>
          <w:rFonts w:asciiTheme="minorHAnsi" w:eastAsia="Calibri" w:hAnsiTheme="minorHAnsi" w:cstheme="minorHAnsi"/>
        </w:rPr>
        <w:t>«Artigo 46.º</w:t>
      </w:r>
    </w:p>
    <w:p w14:paraId="587440C9" w14:textId="77777777" w:rsidR="00477E01" w:rsidRPr="00F2593E" w:rsidRDefault="00DE072E">
      <w:pPr>
        <w:spacing w:line="276" w:lineRule="auto"/>
        <w:jc w:val="center"/>
        <w:rPr>
          <w:rFonts w:asciiTheme="minorHAnsi" w:eastAsia="Calibri" w:hAnsiTheme="minorHAnsi" w:cstheme="minorHAnsi"/>
        </w:rPr>
      </w:pPr>
      <w:r w:rsidRPr="00F2593E">
        <w:rPr>
          <w:rFonts w:asciiTheme="minorHAnsi" w:eastAsia="Calibri" w:hAnsiTheme="minorHAnsi" w:cstheme="minorHAnsi"/>
        </w:rPr>
        <w:t>[...]</w:t>
      </w:r>
    </w:p>
    <w:p w14:paraId="7EE64CA3"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1 - [...].</w:t>
      </w:r>
    </w:p>
    <w:p w14:paraId="6416FF73"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2 - [...].</w:t>
      </w:r>
    </w:p>
    <w:p w14:paraId="6152D0E4"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3 - [...].</w:t>
      </w:r>
    </w:p>
    <w:p w14:paraId="4124AD2B"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4 - [...].</w:t>
      </w:r>
    </w:p>
    <w:p w14:paraId="37142B81"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 xml:space="preserve">5 - Para efeitos do disposto nos </w:t>
      </w:r>
      <w:proofErr w:type="spellStart"/>
      <w:proofErr w:type="gramStart"/>
      <w:r w:rsidRPr="00F2593E">
        <w:rPr>
          <w:rFonts w:asciiTheme="minorHAnsi" w:eastAsia="Calibri" w:hAnsiTheme="minorHAnsi" w:cstheme="minorHAnsi"/>
        </w:rPr>
        <w:t>n.os</w:t>
      </w:r>
      <w:proofErr w:type="spellEnd"/>
      <w:proofErr w:type="gramEnd"/>
      <w:r w:rsidRPr="00F2593E">
        <w:rPr>
          <w:rFonts w:asciiTheme="minorHAnsi" w:eastAsia="Calibri" w:hAnsiTheme="minorHAnsi" w:cstheme="minorHAnsi"/>
        </w:rPr>
        <w:t xml:space="preserve"> 1 e 3, o período de isenção a conceder é de cinco anos, aplicável a prédios urbanos cujo valor patrimonial tributário não exceda (euro) 125 000.</w:t>
      </w:r>
    </w:p>
    <w:p w14:paraId="1BD5C863"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 xml:space="preserve">6 - [...]: </w:t>
      </w:r>
    </w:p>
    <w:p w14:paraId="73752D3E" w14:textId="77777777" w:rsidR="00477E01" w:rsidRPr="00F2593E" w:rsidRDefault="00DE072E">
      <w:pPr>
        <w:numPr>
          <w:ilvl w:val="0"/>
          <w:numId w:val="1"/>
        </w:numPr>
        <w:pBdr>
          <w:top w:val="nil"/>
          <w:left w:val="nil"/>
          <w:bottom w:val="nil"/>
          <w:right w:val="nil"/>
          <w:between w:val="nil"/>
        </w:pBdr>
        <w:spacing w:line="276" w:lineRule="auto"/>
        <w:jc w:val="both"/>
        <w:rPr>
          <w:rFonts w:asciiTheme="minorHAnsi" w:eastAsia="Calibri" w:hAnsiTheme="minorHAnsi" w:cstheme="minorHAnsi"/>
          <w:color w:val="000000"/>
        </w:rPr>
      </w:pPr>
      <w:r w:rsidRPr="00F2593E">
        <w:rPr>
          <w:rFonts w:asciiTheme="minorHAnsi" w:eastAsia="Calibri" w:hAnsiTheme="minorHAnsi" w:cstheme="minorHAnsi"/>
          <w:color w:val="000000"/>
        </w:rPr>
        <w:t xml:space="preserve">[...]; </w:t>
      </w:r>
    </w:p>
    <w:p w14:paraId="715594F6" w14:textId="77777777" w:rsidR="00477E01" w:rsidRPr="00F2593E" w:rsidRDefault="00DE072E">
      <w:pPr>
        <w:numPr>
          <w:ilvl w:val="0"/>
          <w:numId w:val="1"/>
        </w:numPr>
        <w:pBdr>
          <w:top w:val="nil"/>
          <w:left w:val="nil"/>
          <w:bottom w:val="nil"/>
          <w:right w:val="nil"/>
          <w:between w:val="nil"/>
        </w:pBdr>
        <w:spacing w:line="276" w:lineRule="auto"/>
        <w:jc w:val="both"/>
        <w:rPr>
          <w:rFonts w:asciiTheme="minorHAnsi" w:eastAsia="Calibri" w:hAnsiTheme="minorHAnsi" w:cstheme="minorHAnsi"/>
          <w:color w:val="000000"/>
        </w:rPr>
      </w:pPr>
      <w:r w:rsidRPr="00F2593E">
        <w:rPr>
          <w:rFonts w:asciiTheme="minorHAnsi" w:eastAsia="Calibri" w:hAnsiTheme="minorHAnsi" w:cstheme="minorHAnsi"/>
          <w:color w:val="000000"/>
        </w:rPr>
        <w:t>[...].</w:t>
      </w:r>
    </w:p>
    <w:p w14:paraId="7B40A1DE"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7 - [...].</w:t>
      </w:r>
    </w:p>
    <w:p w14:paraId="798EAF44"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8 - [...].</w:t>
      </w:r>
    </w:p>
    <w:p w14:paraId="71E6BA03"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9 - [...].</w:t>
      </w:r>
    </w:p>
    <w:p w14:paraId="3B7AFE1A"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10 - [...].</w:t>
      </w:r>
    </w:p>
    <w:p w14:paraId="7872EC68"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11 - [...].</w:t>
      </w:r>
    </w:p>
    <w:p w14:paraId="6BE43E20"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12 - [...].</w:t>
      </w:r>
    </w:p>
    <w:p w14:paraId="2E3044A4"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13 - [...].»</w:t>
      </w:r>
    </w:p>
    <w:p w14:paraId="0CC61A87" w14:textId="77777777" w:rsidR="00477E01" w:rsidRPr="00F2593E" w:rsidRDefault="00477E01">
      <w:pPr>
        <w:spacing w:line="276" w:lineRule="auto"/>
        <w:jc w:val="both"/>
        <w:rPr>
          <w:rFonts w:asciiTheme="minorHAnsi" w:eastAsia="Calibri" w:hAnsiTheme="minorHAnsi" w:cstheme="minorHAnsi"/>
        </w:rPr>
      </w:pPr>
    </w:p>
    <w:p w14:paraId="26F46371" w14:textId="77777777" w:rsidR="00477E01" w:rsidRPr="00F2593E" w:rsidRDefault="00DE072E">
      <w:pPr>
        <w:spacing w:line="360" w:lineRule="auto"/>
        <w:jc w:val="center"/>
        <w:rPr>
          <w:rFonts w:asciiTheme="minorHAnsi" w:eastAsia="Calibri" w:hAnsiTheme="minorHAnsi" w:cstheme="minorHAnsi"/>
        </w:rPr>
      </w:pPr>
      <w:r w:rsidRPr="00F2593E">
        <w:rPr>
          <w:rFonts w:asciiTheme="minorHAnsi" w:eastAsia="Calibri" w:hAnsiTheme="minorHAnsi" w:cstheme="minorHAnsi"/>
        </w:rPr>
        <w:t>Artigo 3.º</w:t>
      </w:r>
    </w:p>
    <w:p w14:paraId="0897BAF3" w14:textId="77777777" w:rsidR="00477E01" w:rsidRPr="00F2593E" w:rsidRDefault="00DE072E">
      <w:pPr>
        <w:spacing w:line="276" w:lineRule="auto"/>
        <w:jc w:val="center"/>
        <w:rPr>
          <w:rFonts w:asciiTheme="minorHAnsi" w:eastAsia="Calibri" w:hAnsiTheme="minorHAnsi" w:cstheme="minorHAnsi"/>
          <w:b/>
        </w:rPr>
      </w:pPr>
      <w:r w:rsidRPr="00F2593E">
        <w:rPr>
          <w:rFonts w:asciiTheme="minorHAnsi" w:eastAsia="Calibri" w:hAnsiTheme="minorHAnsi" w:cstheme="minorHAnsi"/>
          <w:b/>
        </w:rPr>
        <w:t>Norma transitória</w:t>
      </w:r>
    </w:p>
    <w:p w14:paraId="3FEBA809" w14:textId="77777777"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A alteração legislativa prevista no número anterior aplica-se aos prédios ou parte de prédios urbanos habitacionais cuja construção, ampliação, melhoramento ou aquisição a título oneroso tenha ocorrido no ano de 2022 ou que, tendo ocorrido em momento anterior, em 2022 tivessem beneficiado da atribuição da isenção do artigo 46.º, n.º 5, do Estatuto dos Benefícios Fiscais, sendo nesses casos deduzido ao período de duração da isenção os anos já transcorridos.</w:t>
      </w:r>
    </w:p>
    <w:p w14:paraId="4E9A3E1B" w14:textId="77777777" w:rsidR="00477E01" w:rsidRPr="00F2593E" w:rsidRDefault="00477E01">
      <w:pPr>
        <w:spacing w:line="276" w:lineRule="auto"/>
        <w:jc w:val="both"/>
        <w:rPr>
          <w:rFonts w:asciiTheme="minorHAnsi" w:eastAsia="Calibri" w:hAnsiTheme="minorHAnsi" w:cstheme="minorHAnsi"/>
        </w:rPr>
      </w:pPr>
    </w:p>
    <w:p w14:paraId="0E4D6DAD" w14:textId="77777777" w:rsidR="00477E01" w:rsidRPr="00F2593E" w:rsidRDefault="00477E01">
      <w:pPr>
        <w:spacing w:line="276" w:lineRule="auto"/>
        <w:jc w:val="both"/>
        <w:rPr>
          <w:rFonts w:asciiTheme="minorHAnsi" w:eastAsia="Calibri" w:hAnsiTheme="minorHAnsi" w:cstheme="minorHAnsi"/>
        </w:rPr>
      </w:pPr>
    </w:p>
    <w:p w14:paraId="4B752D7C" w14:textId="77777777" w:rsidR="00477E01" w:rsidRPr="00F2593E" w:rsidRDefault="00DE072E">
      <w:pPr>
        <w:spacing w:line="360" w:lineRule="auto"/>
        <w:jc w:val="center"/>
        <w:rPr>
          <w:rFonts w:asciiTheme="minorHAnsi" w:eastAsia="Calibri" w:hAnsiTheme="minorHAnsi" w:cstheme="minorHAnsi"/>
        </w:rPr>
      </w:pPr>
      <w:r w:rsidRPr="00F2593E">
        <w:rPr>
          <w:rFonts w:asciiTheme="minorHAnsi" w:eastAsia="Calibri" w:hAnsiTheme="minorHAnsi" w:cstheme="minorHAnsi"/>
        </w:rPr>
        <w:t>Artigo 4.º</w:t>
      </w:r>
    </w:p>
    <w:p w14:paraId="695ECB41" w14:textId="77777777" w:rsidR="00477E01" w:rsidRPr="00F2593E" w:rsidRDefault="00DE072E">
      <w:pPr>
        <w:spacing w:line="276" w:lineRule="auto"/>
        <w:jc w:val="center"/>
        <w:rPr>
          <w:rFonts w:asciiTheme="minorHAnsi" w:eastAsia="Calibri" w:hAnsiTheme="minorHAnsi" w:cstheme="minorHAnsi"/>
          <w:b/>
        </w:rPr>
      </w:pPr>
      <w:r w:rsidRPr="00F2593E">
        <w:rPr>
          <w:rFonts w:asciiTheme="minorHAnsi" w:eastAsia="Calibri" w:hAnsiTheme="minorHAnsi" w:cstheme="minorHAnsi"/>
          <w:b/>
        </w:rPr>
        <w:t>Entrada em vigor</w:t>
      </w:r>
    </w:p>
    <w:p w14:paraId="74A87B50" w14:textId="624D8B63" w:rsidR="00477E01" w:rsidRPr="00F2593E" w:rsidRDefault="00DE072E">
      <w:pPr>
        <w:spacing w:line="276" w:lineRule="auto"/>
        <w:jc w:val="both"/>
        <w:rPr>
          <w:rFonts w:asciiTheme="minorHAnsi" w:eastAsia="Calibri" w:hAnsiTheme="minorHAnsi" w:cstheme="minorHAnsi"/>
        </w:rPr>
      </w:pPr>
      <w:r w:rsidRPr="00F2593E">
        <w:rPr>
          <w:rFonts w:asciiTheme="minorHAnsi" w:eastAsia="Calibri" w:hAnsiTheme="minorHAnsi" w:cstheme="minorHAnsi"/>
        </w:rPr>
        <w:t xml:space="preserve">A presente lei entra em vigor a 1 de </w:t>
      </w:r>
      <w:r w:rsidR="00F2593E" w:rsidRPr="00F2593E">
        <w:rPr>
          <w:rFonts w:asciiTheme="minorHAnsi" w:eastAsia="Calibri" w:hAnsiTheme="minorHAnsi" w:cstheme="minorHAnsi"/>
        </w:rPr>
        <w:t>j</w:t>
      </w:r>
      <w:r w:rsidRPr="00F2593E">
        <w:rPr>
          <w:rFonts w:asciiTheme="minorHAnsi" w:eastAsia="Calibri" w:hAnsiTheme="minorHAnsi" w:cstheme="minorHAnsi"/>
        </w:rPr>
        <w:t>aneiro de 2023.</w:t>
      </w:r>
    </w:p>
    <w:p w14:paraId="7E8FB22E" w14:textId="77777777" w:rsidR="00477E01" w:rsidRPr="00F2593E" w:rsidRDefault="00477E01">
      <w:pPr>
        <w:spacing w:line="276" w:lineRule="auto"/>
        <w:jc w:val="both"/>
        <w:rPr>
          <w:rFonts w:asciiTheme="minorHAnsi" w:eastAsia="Calibri" w:hAnsiTheme="minorHAnsi" w:cstheme="minorHAnsi"/>
        </w:rPr>
      </w:pPr>
    </w:p>
    <w:p w14:paraId="294D6F72" w14:textId="77777777" w:rsidR="00477E01" w:rsidRPr="00F2593E" w:rsidRDefault="00477E01">
      <w:pPr>
        <w:spacing w:line="360" w:lineRule="auto"/>
        <w:jc w:val="center"/>
        <w:rPr>
          <w:rFonts w:asciiTheme="minorHAnsi" w:eastAsia="Calibri" w:hAnsiTheme="minorHAnsi" w:cstheme="minorHAnsi"/>
        </w:rPr>
      </w:pPr>
    </w:p>
    <w:p w14:paraId="1AB92C9A" w14:textId="36BD8397" w:rsidR="00477E01" w:rsidRPr="00F2593E" w:rsidRDefault="00DE072E">
      <w:pPr>
        <w:spacing w:line="360" w:lineRule="auto"/>
        <w:jc w:val="center"/>
        <w:rPr>
          <w:rFonts w:asciiTheme="minorHAnsi" w:eastAsia="Calibri" w:hAnsiTheme="minorHAnsi" w:cstheme="minorHAnsi"/>
        </w:rPr>
      </w:pPr>
      <w:r w:rsidRPr="00F2593E">
        <w:rPr>
          <w:rFonts w:asciiTheme="minorHAnsi" w:eastAsia="Calibri" w:hAnsiTheme="minorHAnsi" w:cstheme="minorHAnsi"/>
        </w:rPr>
        <w:lastRenderedPageBreak/>
        <w:t xml:space="preserve">Assembleia da República, Palácio de São Bento, 15 de </w:t>
      </w:r>
      <w:r w:rsidR="00F2593E" w:rsidRPr="00F2593E">
        <w:rPr>
          <w:rFonts w:asciiTheme="minorHAnsi" w:eastAsia="Calibri" w:hAnsiTheme="minorHAnsi" w:cstheme="minorHAnsi"/>
        </w:rPr>
        <w:t>n</w:t>
      </w:r>
      <w:r w:rsidRPr="00F2593E">
        <w:rPr>
          <w:rFonts w:asciiTheme="minorHAnsi" w:eastAsia="Calibri" w:hAnsiTheme="minorHAnsi" w:cstheme="minorHAnsi"/>
        </w:rPr>
        <w:t>ovembro de 2022</w:t>
      </w:r>
    </w:p>
    <w:p w14:paraId="4CF0CEA9" w14:textId="77777777" w:rsidR="00477E01" w:rsidRPr="00F2593E" w:rsidRDefault="00477E01">
      <w:pPr>
        <w:spacing w:line="360" w:lineRule="auto"/>
        <w:jc w:val="center"/>
        <w:rPr>
          <w:rFonts w:asciiTheme="minorHAnsi" w:eastAsia="Calibri" w:hAnsiTheme="minorHAnsi" w:cstheme="minorHAnsi"/>
        </w:rPr>
      </w:pPr>
    </w:p>
    <w:p w14:paraId="4D350482" w14:textId="77777777" w:rsidR="00477E01" w:rsidRPr="00F2593E" w:rsidRDefault="00DE072E">
      <w:pPr>
        <w:spacing w:line="360" w:lineRule="auto"/>
        <w:jc w:val="center"/>
        <w:rPr>
          <w:rFonts w:asciiTheme="minorHAnsi" w:eastAsia="Calibri" w:hAnsiTheme="minorHAnsi" w:cstheme="minorHAnsi"/>
        </w:rPr>
      </w:pPr>
      <w:r w:rsidRPr="00F2593E">
        <w:rPr>
          <w:rFonts w:asciiTheme="minorHAnsi" w:eastAsia="Calibri" w:hAnsiTheme="minorHAnsi" w:cstheme="minorHAnsi"/>
        </w:rPr>
        <w:t>A Deputada,</w:t>
      </w:r>
    </w:p>
    <w:p w14:paraId="05FAC446" w14:textId="77777777" w:rsidR="00477E01" w:rsidRPr="00F2593E" w:rsidRDefault="00477E01">
      <w:pPr>
        <w:spacing w:line="360" w:lineRule="auto"/>
        <w:jc w:val="center"/>
        <w:rPr>
          <w:rFonts w:asciiTheme="minorHAnsi" w:eastAsia="Calibri" w:hAnsiTheme="minorHAnsi" w:cstheme="minorHAnsi"/>
        </w:rPr>
      </w:pPr>
    </w:p>
    <w:p w14:paraId="00486B21" w14:textId="77777777" w:rsidR="00477E01" w:rsidRPr="00F2593E" w:rsidRDefault="00DE072E">
      <w:pPr>
        <w:spacing w:line="360" w:lineRule="auto"/>
        <w:jc w:val="center"/>
        <w:rPr>
          <w:rFonts w:asciiTheme="minorHAnsi" w:eastAsia="Calibri" w:hAnsiTheme="minorHAnsi" w:cstheme="minorHAnsi"/>
        </w:rPr>
      </w:pPr>
      <w:r w:rsidRPr="00F2593E">
        <w:rPr>
          <w:rFonts w:asciiTheme="minorHAnsi" w:eastAsia="Calibri" w:hAnsiTheme="minorHAnsi" w:cstheme="minorHAnsi"/>
        </w:rPr>
        <w:t>Inês de Sousa Real</w:t>
      </w:r>
    </w:p>
    <w:p w14:paraId="75427F37" w14:textId="77777777" w:rsidR="00477E01" w:rsidRPr="00F2593E" w:rsidRDefault="00477E01">
      <w:pPr>
        <w:widowControl w:val="0"/>
        <w:spacing w:line="360" w:lineRule="auto"/>
        <w:rPr>
          <w:rFonts w:asciiTheme="minorHAnsi" w:eastAsia="Calibri" w:hAnsiTheme="minorHAnsi" w:cstheme="minorHAnsi"/>
        </w:rPr>
      </w:pPr>
    </w:p>
    <w:sectPr w:rsidR="00477E01" w:rsidRPr="00F2593E">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6224" w14:textId="77777777" w:rsidR="00DE072E" w:rsidRDefault="00DE072E">
      <w:r>
        <w:separator/>
      </w:r>
    </w:p>
  </w:endnote>
  <w:endnote w:type="continuationSeparator" w:id="0">
    <w:p w14:paraId="0B364B05" w14:textId="77777777" w:rsidR="00DE072E" w:rsidRDefault="00DE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AB15" w14:textId="77777777" w:rsidR="00477E01" w:rsidRDefault="00477E0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EA4C" w14:textId="77777777" w:rsidR="00DE072E" w:rsidRDefault="00DE072E">
      <w:r>
        <w:separator/>
      </w:r>
    </w:p>
  </w:footnote>
  <w:footnote w:type="continuationSeparator" w:id="0">
    <w:p w14:paraId="3C580F8B" w14:textId="77777777" w:rsidR="00DE072E" w:rsidRDefault="00DE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9A62" w14:textId="77777777" w:rsidR="00477E01" w:rsidRDefault="00DE072E">
    <w:pPr>
      <w:jc w:val="center"/>
    </w:pPr>
    <w:r>
      <w:rPr>
        <w:noProof/>
      </w:rPr>
      <w:drawing>
        <wp:inline distT="114300" distB="114300" distL="114300" distR="114300" wp14:anchorId="5D37B468" wp14:editId="3D10E3F5">
          <wp:extent cx="1452925" cy="8686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p w14:paraId="2CFC918C" w14:textId="77777777" w:rsidR="00477E01" w:rsidRDefault="00477E0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255E"/>
    <w:multiLevelType w:val="multilevel"/>
    <w:tmpl w:val="999687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01"/>
    <w:rsid w:val="00477E01"/>
    <w:rsid w:val="00DE072E"/>
    <w:rsid w:val="00F059A4"/>
    <w:rsid w:val="00F259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3E1"/>
  <w15:docId w15:val="{7200F153-930D-4A11-9581-78D0910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B8"/>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ligao">
    <w:name w:val="Hyperlink"/>
    <w:uiPriority w:val="99"/>
    <w:unhideWhenUsed/>
    <w:rsid w:val="00897CB8"/>
    <w:rPr>
      <w:color w:val="0563C1"/>
      <w:u w:val="single"/>
    </w:rPr>
  </w:style>
  <w:style w:type="paragraph" w:styleId="Textodenotaderodap">
    <w:name w:val="footnote text"/>
    <w:basedOn w:val="Normal"/>
    <w:link w:val="TextodenotaderodapCarter"/>
    <w:uiPriority w:val="99"/>
    <w:unhideWhenUsed/>
    <w:rsid w:val="00897CB8"/>
    <w:rPr>
      <w:sz w:val="20"/>
      <w:szCs w:val="20"/>
    </w:rPr>
  </w:style>
  <w:style w:type="character" w:customStyle="1" w:styleId="TextodenotaderodapCarter">
    <w:name w:val="Texto de nota de rodapé Caráter"/>
    <w:basedOn w:val="Tipodeletrapredefinidodopargrafo"/>
    <w:link w:val="Textodenotaderodap"/>
    <w:uiPriority w:val="99"/>
    <w:rsid w:val="00897CB8"/>
    <w:rPr>
      <w:rFonts w:ascii="Cambria" w:eastAsia="MS Mincho" w:hAnsi="Cambria" w:cs="Times New Roman"/>
      <w:sz w:val="20"/>
      <w:szCs w:val="20"/>
    </w:rPr>
  </w:style>
  <w:style w:type="character" w:styleId="Refdenotaderodap">
    <w:name w:val="footnote reference"/>
    <w:uiPriority w:val="99"/>
    <w:unhideWhenUsed/>
    <w:rsid w:val="00897CB8"/>
    <w:rPr>
      <w:vertAlign w:val="superscript"/>
    </w:rPr>
  </w:style>
  <w:style w:type="paragraph" w:styleId="PargrafodaLista">
    <w:name w:val="List Paragraph"/>
    <w:basedOn w:val="Normal"/>
    <w:uiPriority w:val="34"/>
    <w:qFormat/>
    <w:rsid w:val="00980E3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eastAsia="MS Mincho" w:cs="Times New Roman"/>
      <w:sz w:val="20"/>
      <w:szCs w:val="20"/>
    </w:rPr>
  </w:style>
  <w:style w:type="character" w:styleId="Refdecomentrio">
    <w:name w:val="annotation reference"/>
    <w:basedOn w:val="Tipodeletrapredefinidodopargrafo"/>
    <w:uiPriority w:val="99"/>
    <w:semiHidden/>
    <w:unhideWhenUsed/>
    <w:rPr>
      <w:sz w:val="16"/>
      <w:szCs w:val="16"/>
    </w:rPr>
  </w:style>
  <w:style w:type="paragraph" w:styleId="Cabealho">
    <w:name w:val="header"/>
    <w:basedOn w:val="Normal"/>
    <w:link w:val="CabealhoCarter"/>
    <w:uiPriority w:val="99"/>
    <w:unhideWhenUsed/>
    <w:rsid w:val="00987950"/>
    <w:pPr>
      <w:tabs>
        <w:tab w:val="center" w:pos="4252"/>
        <w:tab w:val="right" w:pos="8504"/>
      </w:tabs>
    </w:pPr>
  </w:style>
  <w:style w:type="character" w:customStyle="1" w:styleId="CabealhoCarter">
    <w:name w:val="Cabeçalho Caráter"/>
    <w:basedOn w:val="Tipodeletrapredefinidodopargrafo"/>
    <w:link w:val="Cabealho"/>
    <w:uiPriority w:val="99"/>
    <w:rsid w:val="00987950"/>
    <w:rPr>
      <w:rFonts w:eastAsia="MS Mincho" w:cs="Times New Roman"/>
    </w:rPr>
  </w:style>
  <w:style w:type="paragraph" w:styleId="Rodap">
    <w:name w:val="footer"/>
    <w:basedOn w:val="Normal"/>
    <w:link w:val="RodapCarter"/>
    <w:uiPriority w:val="99"/>
    <w:unhideWhenUsed/>
    <w:rsid w:val="00987950"/>
    <w:pPr>
      <w:tabs>
        <w:tab w:val="center" w:pos="4252"/>
        <w:tab w:val="right" w:pos="8504"/>
      </w:tabs>
    </w:pPr>
  </w:style>
  <w:style w:type="character" w:customStyle="1" w:styleId="RodapCarter">
    <w:name w:val="Rodapé Caráter"/>
    <w:basedOn w:val="Tipodeletrapredefinidodopargrafo"/>
    <w:link w:val="Rodap"/>
    <w:uiPriority w:val="99"/>
    <w:rsid w:val="00987950"/>
    <w:rPr>
      <w:rFonts w:eastAsia="MS Mincho" w:cs="Times New Roman"/>
    </w:rPr>
  </w:style>
  <w:style w:type="character" w:styleId="MenoNoResolvida">
    <w:name w:val="Unresolved Mention"/>
    <w:basedOn w:val="Tipodeletrapredefinidodopargrafo"/>
    <w:uiPriority w:val="99"/>
    <w:semiHidden/>
    <w:unhideWhenUsed/>
    <w:rsid w:val="001D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05jhGSMq/mmw/6BW6XsaqFyVtg==">AMUW2mWdk4S6pBNd6BV15QHJvfH/kHo7twfxgIgMrKP1Ob0pqs8YY3waUm2tJ+0Ojw7mc9/2Njv9LsAJQ0EP1l/BD5osareLUukpvt/9OqaZl8qQMK+ECnCNnE/oK0arKGd6Ya4FGFF0benbkAzZxbHIpguGohTaJekr/xADIfhVfyjNgPnnLK8=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2022-11-15T00:00:00+00:00</DataDocumento>
    <NomeOriginalFicheiro xmlns="http://schemas.microsoft.com/sharepoint/v3">pjl365-XV.docx</NomeOriginalFicheiro>
    <IDFase xmlns="http://schemas.microsoft.com/sharepoint/v3">0</IDFase>
    <NRIniciativa xmlns="http://schemas.microsoft.com/sharepoint/v3">365</NRIniciativa>
    <IDIniciativa xmlns="http://schemas.microsoft.com/sharepoint/v3">152058</IDIniciativa>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4C0228-BC76-4581-A0E8-4F123C7E3928}"/>
</file>

<file path=customXml/itemProps3.xml><?xml version="1.0" encoding="utf-8"?>
<ds:datastoreItem xmlns:ds="http://schemas.openxmlformats.org/officeDocument/2006/customXml" ds:itemID="{49DFA95C-1E62-411C-ACCD-51B92AF23638}"/>
</file>

<file path=customXml/itemProps4.xml><?xml version="1.0" encoding="utf-8"?>
<ds:datastoreItem xmlns:ds="http://schemas.openxmlformats.org/officeDocument/2006/customXml" ds:itemID="{07C9F229-D0B3-4E94-BD2A-34EA7FB4073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3764</Characters>
  <Application>Microsoft Office Word</Application>
  <DocSecurity>4</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Luis Almeida</dc:creator>
  <cp:lastModifiedBy>Pedro Camacho</cp:lastModifiedBy>
  <cp:revision>2</cp:revision>
  <dcterms:created xsi:type="dcterms:W3CDTF">2022-11-15T13:48:00Z</dcterms:created>
  <dcterms:modified xsi:type="dcterms:W3CDTF">2022-11-15T13:48:00Z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216800</vt:r8>
  </property>
</Properties>
</file>