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2AD1A" w14:textId="77777777" w:rsidR="00090591" w:rsidRDefault="008E248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49CD3431" wp14:editId="60580DD8">
            <wp:extent cx="3209815" cy="10001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815" cy="100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7A71F" w14:textId="77777777" w:rsidR="00090591" w:rsidRDefault="008E2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Deputado Único Representante do Partido LIVRE</w:t>
      </w:r>
    </w:p>
    <w:p w14:paraId="7C332095" w14:textId="77777777" w:rsidR="00090591" w:rsidRDefault="00090591">
      <w:pPr>
        <w:jc w:val="center"/>
      </w:pPr>
    </w:p>
    <w:p w14:paraId="5075E98A" w14:textId="77777777" w:rsidR="00090591" w:rsidRDefault="00090591">
      <w:pPr>
        <w:jc w:val="center"/>
      </w:pPr>
    </w:p>
    <w:p w14:paraId="568D453F" w14:textId="7EBF31B5" w:rsidR="00090591" w:rsidRDefault="008E24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Projeto de Resolução n.º 605/XV</w:t>
      </w:r>
    </w:p>
    <w:p w14:paraId="04A6743B" w14:textId="77777777" w:rsidR="00090591" w:rsidRDefault="00090591">
      <w:pPr>
        <w:jc w:val="center"/>
        <w:rPr>
          <w:sz w:val="26"/>
          <w:szCs w:val="26"/>
        </w:rPr>
      </w:pPr>
    </w:p>
    <w:p w14:paraId="00C5B5F5" w14:textId="77777777" w:rsidR="00090591" w:rsidRDefault="00090591">
      <w:pPr>
        <w:jc w:val="center"/>
        <w:rPr>
          <w:b/>
          <w:sz w:val="24"/>
          <w:szCs w:val="24"/>
        </w:rPr>
      </w:pPr>
    </w:p>
    <w:p w14:paraId="3BE22629" w14:textId="77777777" w:rsidR="00090591" w:rsidRDefault="008E2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Recomenda que Portugal assine a  </w:t>
      </w:r>
      <w:r>
        <w:rPr>
          <w:b/>
          <w:i/>
          <w:sz w:val="24"/>
          <w:szCs w:val="24"/>
        </w:rPr>
        <w:t>European Cycling Declaration</w:t>
      </w:r>
      <w:r>
        <w:rPr>
          <w:b/>
          <w:sz w:val="24"/>
          <w:szCs w:val="24"/>
        </w:rPr>
        <w:t xml:space="preserve"> e que priorize a mobilidade ciclável</w:t>
      </w:r>
    </w:p>
    <w:p w14:paraId="6DDEC889" w14:textId="77777777" w:rsidR="00090591" w:rsidRDefault="00090591">
      <w:pPr>
        <w:rPr>
          <w:b/>
        </w:rPr>
      </w:pPr>
    </w:p>
    <w:p w14:paraId="16C02CAE" w14:textId="77777777" w:rsidR="00090591" w:rsidRDefault="00090591">
      <w:pPr>
        <w:rPr>
          <w:b/>
        </w:rPr>
      </w:pPr>
    </w:p>
    <w:p w14:paraId="657EBAE4" w14:textId="77777777" w:rsidR="00090591" w:rsidRDefault="00090591">
      <w:pPr>
        <w:rPr>
          <w:b/>
        </w:rPr>
      </w:pPr>
    </w:p>
    <w:p w14:paraId="49D4B90F" w14:textId="77777777" w:rsidR="00090591" w:rsidRDefault="00090591">
      <w:pPr>
        <w:rPr>
          <w:b/>
        </w:rPr>
      </w:pPr>
    </w:p>
    <w:p w14:paraId="00CC5470" w14:textId="77777777" w:rsidR="00090591" w:rsidRDefault="008E2482">
      <w:r>
        <w:rPr>
          <w:b/>
        </w:rPr>
        <w:t>Exposição de motivos</w:t>
      </w:r>
    </w:p>
    <w:p w14:paraId="39CFF3F3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 xml:space="preserve">No 3 de junho de 2022, Dia Mundial da Bicicleta, a Bélgica, a Áustria, a Dinamarca, a Irlanda, o Luxemburgo e os Países Baixos anunciaram a assinatura conjunta da </w:t>
      </w:r>
      <w:r>
        <w:rPr>
          <w:i/>
        </w:rPr>
        <w:t>European Cycling Declaration</w:t>
      </w:r>
      <w:r>
        <w:rPr>
          <w:vertAlign w:val="superscript"/>
        </w:rPr>
        <w:footnoteReference w:id="1"/>
      </w:r>
      <w:r>
        <w:t>, que pede que a Comissão Europeia desenvolva uma política euro</w:t>
      </w:r>
      <w:r>
        <w:t>peia ciclável, com a correspondente alocação de fundos e a priorização de políticas de promoção do uso da bicicleta. Além disso, na Declaração é também defendido que 2024 seja o ano europeu da bicicleta.</w:t>
      </w:r>
    </w:p>
    <w:p w14:paraId="79CE9202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Desde então, nove outros países europeus assinaram e</w:t>
      </w:r>
      <w:r>
        <w:t xml:space="preserve">sta declaração, no que tem sido um movimento crescente pela importância da mobilidade ciclável nas políticas ambientais e de qualidade de vida na Europa. </w:t>
      </w:r>
    </w:p>
    <w:p w14:paraId="04C44F24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Este movimento viu-se também reforçado pela recente moção aprovada em fevereiro de 2023 no Parlamento</w:t>
      </w:r>
      <w:r>
        <w:t xml:space="preserve"> Europeu pelo desenvolvimento de uma estratégia europeia ciclável</w:t>
      </w:r>
      <w:r>
        <w:rPr>
          <w:vertAlign w:val="superscript"/>
        </w:rPr>
        <w:footnoteReference w:id="2"/>
      </w:r>
      <w:r>
        <w:t xml:space="preserve"> - onde são listadas uma série de recomendações pela promoção da mobilidade ciclável nos vários territórios europeus, incluindo a sugestão de redução do IVA para a aquisição, reparação e al</w:t>
      </w:r>
      <w:r>
        <w:t>uguer de bicicletas - medida que Portugal já adotou parcialmente, por sugestão do LIVRE, e onde é reforçada a recomendação para que 2024 seja o ano europeu da bicicleta.</w:t>
      </w:r>
    </w:p>
    <w:p w14:paraId="7A1CC7A8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A 9 de março de 2023, o vice-Presidente da Comissão Europeia Frans Timmermans comprome</w:t>
      </w:r>
      <w:r>
        <w:t>teu-se com a apresentação de um plano ambicioso para a mobilidade ciclável a nível europeu, referindo que incluirá reforço de financiamento para infraestrutura e para a indústria da bicicleta, e anunciou que a Comissão Europeia proporá uma declaração europ</w:t>
      </w:r>
      <w:r>
        <w:t>eia pela bicicleta conjunta ao Parlamento Europeu e ao Conselho Europeu.</w:t>
      </w:r>
      <w:r>
        <w:rPr>
          <w:vertAlign w:val="superscript"/>
        </w:rPr>
        <w:footnoteReference w:id="3"/>
      </w:r>
    </w:p>
    <w:p w14:paraId="3D245EFC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</w:p>
    <w:p w14:paraId="375CB334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lastRenderedPageBreak/>
        <w:t>Portugal tem, desde 2019, uma Estratégia Nacional para a Mobilidade Ativa Ciclável (ENMAC) 2020-2030</w:t>
      </w:r>
      <w:r>
        <w:rPr>
          <w:vertAlign w:val="superscript"/>
        </w:rPr>
        <w:footnoteReference w:id="4"/>
      </w:r>
      <w:r>
        <w:t>, à qual se juntará a Estratégia Nacional para a Mobilidade Ativa Pedonal 2030</w:t>
      </w:r>
      <w:r>
        <w:t xml:space="preserve"> (ENMAP) que esteve em consulta pública no final de 2022, formando a que será a Estratégia Nacional para a Mobilidade Ativa (ENMA).</w:t>
      </w:r>
    </w:p>
    <w:p w14:paraId="7A539A91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Na ENMAC são definidas ações e metas concretas e ambiciosas - mas necessárias para efetivamente mudar a mobilidade em Portugal.</w:t>
      </w:r>
    </w:p>
    <w:p w14:paraId="745DB438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"/>
          <w:szCs w:val="2"/>
        </w:rPr>
      </w:pPr>
    </w:p>
    <w:tbl>
      <w:tblPr>
        <w:tblStyle w:val="a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1672"/>
        <w:gridCol w:w="1672"/>
      </w:tblGrid>
      <w:tr w:rsidR="00090591" w14:paraId="712225A4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B8D0" w14:textId="77777777" w:rsidR="00090591" w:rsidRDefault="008E24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Metas definidas na ENMAC 2020-2030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9CFC3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2025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461A2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2030</w:t>
            </w:r>
          </w:p>
        </w:tc>
      </w:tr>
      <w:tr w:rsidR="00090591" w14:paraId="764C8EF9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01B5" w14:textId="77777777" w:rsidR="00090591" w:rsidRDefault="008E248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Quota modal de viagens em bicicleta no território nacional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63C8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3%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9C021" w14:textId="77777777" w:rsidR="00090591" w:rsidRDefault="008E24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7,5%</w:t>
            </w:r>
          </w:p>
        </w:tc>
      </w:tr>
      <w:tr w:rsidR="00090591" w14:paraId="5BFAF825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D041" w14:textId="77777777" w:rsidR="00090591" w:rsidRDefault="008E248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Quota modal de viagens em bicicleta nas cidades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339BC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4%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ABF55" w14:textId="77777777" w:rsidR="00090591" w:rsidRDefault="008E24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10%</w:t>
            </w:r>
          </w:p>
        </w:tc>
      </w:tr>
      <w:tr w:rsidR="00090591" w14:paraId="7A818B2A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7C3B" w14:textId="77777777" w:rsidR="00090591" w:rsidRDefault="008E248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Extensão total de ciclovias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0C6A4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5 000 km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147EF" w14:textId="77777777" w:rsidR="00090591" w:rsidRDefault="008E24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10 000 km</w:t>
            </w:r>
          </w:p>
        </w:tc>
      </w:tr>
      <w:tr w:rsidR="00090591" w14:paraId="1134A148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C750" w14:textId="77777777" w:rsidR="00090591" w:rsidRDefault="008E248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Redução da sinistralidade rodoviária de ciclistas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F280B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25%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021FD" w14:textId="77777777" w:rsidR="00090591" w:rsidRDefault="008E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50%</w:t>
            </w:r>
          </w:p>
        </w:tc>
      </w:tr>
    </w:tbl>
    <w:p w14:paraId="2B1C0DBE" w14:textId="77777777" w:rsidR="00090591" w:rsidRDefault="008E2482">
      <w:pPr>
        <w:shd w:val="clear" w:color="auto" w:fill="FFFFFF"/>
        <w:jc w:val="center"/>
        <w:rPr>
          <w:color w:val="222222"/>
        </w:rPr>
      </w:pPr>
      <w:r>
        <w:rPr>
          <w:b/>
          <w:color w:val="222222"/>
          <w:sz w:val="18"/>
          <w:szCs w:val="18"/>
        </w:rPr>
        <w:t>Fonte: ENMAC 2020-2030</w:t>
      </w:r>
    </w:p>
    <w:p w14:paraId="6E47E98B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</w:p>
    <w:p w14:paraId="57D76A30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Apesar de, no papel, Portugal ter uma estratégia para a mobilidade ciclável, a falta de alocação de recursos e de financiamento compromete seriamente o empenho do país e os resultados dessa estratégia. Já há muito que as associações e os especialistas vinh</w:t>
      </w:r>
      <w:r>
        <w:t>am a alertar para a falta de investimento na ENMAC e para o elevado risco de incumprimento das metas definidas em 2019</w:t>
      </w:r>
      <w:r>
        <w:rPr>
          <w:vertAlign w:val="superscript"/>
        </w:rPr>
        <w:footnoteReference w:id="5"/>
      </w:r>
      <w:r>
        <w:t>. Também o LIVRE tem insistido na importância de intensificar os esforços de implementação da ENMAC, mas as suas propostas de aumento do</w:t>
      </w:r>
      <w:r>
        <w:t xml:space="preserve"> orçamento ou de alocação de equipa própria alargada foram rejeitadas.</w:t>
      </w:r>
    </w:p>
    <w:p w14:paraId="7E119477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Georgia" w:eastAsia="Georgia" w:hAnsi="Georgia" w:cs="Georgia"/>
          <w:i/>
          <w:color w:val="1F1F1F"/>
          <w:sz w:val="17"/>
          <w:szCs w:val="17"/>
          <w:highlight w:val="white"/>
        </w:rPr>
      </w:pPr>
      <w:r>
        <w:t>Os dados dos Censos 2021 vieram agora mostrar que, de facto, as metas da ENMAC estão seriamente comprometidas. Entre 2011 e 2021, não há uma variação expressiva a nível nacional da util</w:t>
      </w:r>
      <w:r>
        <w:t>ização da bicicleta: é indicado como principal meio de transporte para apenas 0,57% da população em 2021</w:t>
      </w:r>
      <w:r>
        <w:rPr>
          <w:vertAlign w:val="superscript"/>
        </w:rPr>
        <w:footnoteReference w:id="6"/>
      </w:r>
      <w:r>
        <w:t xml:space="preserve"> e 0,53% em 2011</w:t>
      </w:r>
      <w:r>
        <w:rPr>
          <w:vertAlign w:val="superscript"/>
        </w:rPr>
        <w:footnoteReference w:id="7"/>
      </w:r>
      <w:r>
        <w:t>. Não há variação entre 2011 e 2021, a nível nacional, da proporção de população empregada que utiliza a bicicleta como principal tr</w:t>
      </w:r>
      <w:r>
        <w:t>ansporte entre casa e o trabalho, mantendo-se apenas nos 0,7%</w:t>
      </w:r>
      <w:r>
        <w:rPr>
          <w:vertAlign w:val="superscript"/>
        </w:rPr>
        <w:footnoteReference w:id="8"/>
      </w:r>
      <w:r>
        <w:t>. São valores ainda muito afastados das metas para 2025 e para 2030 a que a ENMAC comprometeu o país.</w:t>
      </w:r>
    </w:p>
    <w:p w14:paraId="0379A20E" w14:textId="77777777" w:rsidR="00090591" w:rsidRDefault="00090591">
      <w:pPr>
        <w:shd w:val="clear" w:color="auto" w:fill="FFFFFF"/>
        <w:rPr>
          <w:color w:val="222222"/>
          <w:sz w:val="4"/>
          <w:szCs w:val="4"/>
          <w:highlight w:val="yellow"/>
        </w:rPr>
      </w:pPr>
    </w:p>
    <w:p w14:paraId="6C4A9A45" w14:textId="77777777" w:rsidR="00090591" w:rsidRDefault="00090591">
      <w:pPr>
        <w:spacing w:before="200"/>
        <w:jc w:val="both"/>
      </w:pPr>
    </w:p>
    <w:p w14:paraId="050D4933" w14:textId="77777777" w:rsidR="00090591" w:rsidRDefault="008E2482">
      <w:pPr>
        <w:spacing w:before="200"/>
        <w:jc w:val="both"/>
      </w:pPr>
      <w:r>
        <w:t>A construção de uma estratégia nacional é inútil se depois não se afetam os recursos necessários para a implementar. No documento da ENMAP que esteve em consulta pública, indicava-se a criação de um “Grupo de Projeto para a Mobilidade Ativa (GPMA), que tem</w:t>
      </w:r>
      <w:r>
        <w:t xml:space="preserve"> por missão garantir a execução da ENMA nas componentes ciclável e pedonal, implementando as medidas que as compõem” composto por apenas três pessoas: um coordenador e dois </w:t>
      </w:r>
      <w:r>
        <w:lastRenderedPageBreak/>
        <w:t>técnicos superiores - o que é manifestamente insuficiente para a implementação de u</w:t>
      </w:r>
      <w:r>
        <w:t xml:space="preserve">ma estratégia tão ambiciosa e necessária. Como contraponto, a agência governamental Active Travel England, que coordena a execução das políticas nacionais para a mobilidade activa em Inglaterra, prevê a contratação de um staff constituído por cerca de 100 </w:t>
      </w:r>
      <w:r>
        <w:t>pessoas, o que equivaleria à contratação em Portugal de 20 pessoas para a implementação das duas estratégias, segundo a MUBI - Associação pela Mobilidade Urbana em Bicicleta</w:t>
      </w:r>
      <w:r>
        <w:rPr>
          <w:vertAlign w:val="superscript"/>
        </w:rPr>
        <w:footnoteReference w:id="9"/>
      </w:r>
      <w:r>
        <w:t>.</w:t>
      </w:r>
    </w:p>
    <w:p w14:paraId="69BDCE04" w14:textId="77777777" w:rsidR="00090591" w:rsidRDefault="008E2482">
      <w:pPr>
        <w:spacing w:before="200"/>
        <w:jc w:val="both"/>
      </w:pPr>
      <w:r>
        <w:t>Além dos recursos humanos essenciais para a concretização da ENMA, é também nec</w:t>
      </w:r>
      <w:r>
        <w:t xml:space="preserve">essário assegurar os recursos financeiros. Assistimos a um investimento muito forte em vários países europeus. Novamente citando a MUBI: “Na Alemanha, o plano nacional para a utilização da bicicleta prevê um investimento anual de 30 euros per capita neste </w:t>
      </w:r>
      <w:r>
        <w:t>modo de transporte. A República da Irlanda decidiu alocar, ao longo dos próximos cinco anos, 10% do orçamento do estado para transportes à mobilidade em bicicleta e outros 10% ao modo pedonal. São 360 milhões de euros por ano (um milhão por dia) para os mo</w:t>
      </w:r>
      <w:r>
        <w:t>dos activos, num país com metade da população portuguesa.”</w:t>
      </w:r>
      <w:r>
        <w:rPr>
          <w:vertAlign w:val="superscript"/>
        </w:rPr>
        <w:footnoteReference w:id="10"/>
      </w:r>
      <w:r>
        <w:t xml:space="preserve"> O Orçamento do Estado 2022 previa um orçamento de até 1 000 000 de euros para a ENMAC e o Orçamento do Estado 2023 a transferência de 1 000 000 de euros para a ENMA - que compreende a ENMAC e a E</w:t>
      </w:r>
      <w:r>
        <w:t>NMAP. Este é um valor claramente insuficiente. A alocação de recursos humanos e financeiros é essencial para que a ENMA cumpra as suas metas e objetivos, que são fulcrais para que o país cumpra as suas metas de redução de emissões de gases de efeito de est</w:t>
      </w:r>
      <w:r>
        <w:t>ufa e para combater o sedentarismo e a obesidade.</w:t>
      </w:r>
    </w:p>
    <w:p w14:paraId="31955AE7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</w:p>
    <w:p w14:paraId="49CD1587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Acresce que a indústria da bicicleta é forte em Portugal. O país é o maior produtor europeu de bicicletas, tendo atingido em 2022 mais de 800 milhões de euros em exportações</w:t>
      </w:r>
      <w:r>
        <w:rPr>
          <w:vertAlign w:val="superscript"/>
        </w:rPr>
        <w:footnoteReference w:id="11"/>
      </w:r>
      <w:r>
        <w:t>. Este setor, já com uma tradi</w:t>
      </w:r>
      <w:r>
        <w:t>ção de muitas décadas, tem sabido reinventar-se e reposicionar-se, aliando conhecimento e técnica. O apoio à indústria nacional e o seu envolvimento no fomento do uso da bicicleta em Portugal afiguram-se essenciais.</w:t>
      </w:r>
    </w:p>
    <w:p w14:paraId="5BBFAC11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Com o impulso que a bicicleta está a ter</w:t>
      </w:r>
      <w:r>
        <w:t xml:space="preserve"> a nível europeu, Portugal tem agora a oportunidade de corrigir a falta de investimento que tem tido na ENMAC e de apostar em força no aumento da mobilidade ciclável e na indústria da bicicleta. O LIVRE defende assim que Portugal se junte ao conjunto de pa</w:t>
      </w:r>
      <w:r>
        <w:t xml:space="preserve">íses signatários da </w:t>
      </w:r>
      <w:r>
        <w:rPr>
          <w:i/>
        </w:rPr>
        <w:t>European Cycling Declaration</w:t>
      </w:r>
      <w:r>
        <w:t xml:space="preserve"> e que se comprometa, nacionalmente, em alocar esforços e recursos ao aumento da utilização da bicicleta e do cumprimento da ENMAC 2030, de modo a que 2024 seja o ano em que recuperamos o tempo perdido no alc</w:t>
      </w:r>
      <w:r>
        <w:t>ance das metas.</w:t>
      </w:r>
    </w:p>
    <w:p w14:paraId="6338E1B7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</w:rPr>
      </w:pPr>
    </w:p>
    <w:p w14:paraId="183805A5" w14:textId="77777777" w:rsidR="00090591" w:rsidRDefault="008E2482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</w:rPr>
      </w:pPr>
      <w:r>
        <w:rPr>
          <w:b/>
        </w:rPr>
        <w:t>Ao abrigo das disposições constitucionais e regimentais aplicáveis, o deputado do LIVRE propõe à Assembleia da República que, através do presente Projeto de Resolução, delibere recomendar ao Governo que:</w:t>
      </w:r>
    </w:p>
    <w:p w14:paraId="383D4E74" w14:textId="77777777" w:rsidR="00090591" w:rsidRDefault="00090591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sz w:val="2"/>
          <w:szCs w:val="2"/>
        </w:rPr>
      </w:pPr>
    </w:p>
    <w:p w14:paraId="22F784DF" w14:textId="77777777" w:rsidR="00090591" w:rsidRDefault="008E2482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 xml:space="preserve">Portugal assine a </w:t>
      </w:r>
      <w:r>
        <w:rPr>
          <w:i/>
          <w:color w:val="222222"/>
        </w:rPr>
        <w:t>European Cycling</w:t>
      </w:r>
      <w:r>
        <w:rPr>
          <w:i/>
          <w:color w:val="222222"/>
        </w:rPr>
        <w:t xml:space="preserve"> Declaration</w:t>
      </w:r>
      <w:r>
        <w:rPr>
          <w:color w:val="222222"/>
        </w:rPr>
        <w:t>, juntando-se a outros países da União Europeia que já o fizeram;</w:t>
      </w:r>
    </w:p>
    <w:p w14:paraId="0CB1127E" w14:textId="77777777" w:rsidR="00090591" w:rsidRDefault="008E2482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Envide esforços no Conselho Europeu para a adoção de uma estratégia europeia ciclável;</w:t>
      </w:r>
    </w:p>
    <w:p w14:paraId="001F1716" w14:textId="77777777" w:rsidR="00090591" w:rsidRDefault="008E2482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Reforce a equipa alocada à Estratégia Nacional para a Mobilidade Ativa Ciclável 2020-2030 e, quando for criada, à Estratégia Nacional para a Mobilidade Ativa;</w:t>
      </w:r>
    </w:p>
    <w:p w14:paraId="43C55A05" w14:textId="77777777" w:rsidR="00090591" w:rsidRDefault="008E2482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Reforce de forma substancial o orçamento alocado à Estratégia Nacional para a Mobilidade Ativa Ci</w:t>
      </w:r>
      <w:r>
        <w:rPr>
          <w:color w:val="222222"/>
        </w:rPr>
        <w:t>clável 2020-2030 e, quando for criada, à Estratégia Nacional para a Mobilidade Ativa;</w:t>
      </w:r>
    </w:p>
    <w:p w14:paraId="051B400C" w14:textId="77777777" w:rsidR="00090591" w:rsidRDefault="008E2482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Mobilize esforços conjuntamente com as Áreas Metropolitanas, as Comunidades Intermunicipais e os municípios na implementação das medidas necessárias ao aumento da utiliza</w:t>
      </w:r>
      <w:r>
        <w:rPr>
          <w:color w:val="222222"/>
        </w:rPr>
        <w:t>ção da bicicleta em Portugal nas deslocações intra e intermunicipais.</w:t>
      </w:r>
    </w:p>
    <w:p w14:paraId="0174C024" w14:textId="77777777" w:rsidR="00090591" w:rsidRDefault="00090591">
      <w:pPr>
        <w:rPr>
          <w:sz w:val="2"/>
          <w:szCs w:val="2"/>
        </w:rPr>
      </w:pPr>
    </w:p>
    <w:p w14:paraId="76FBC5E5" w14:textId="77777777" w:rsidR="00090591" w:rsidRDefault="00090591">
      <w:pPr>
        <w:spacing w:before="240" w:after="240" w:line="240" w:lineRule="auto"/>
        <w:jc w:val="both"/>
      </w:pPr>
    </w:p>
    <w:p w14:paraId="33E3D176" w14:textId="77777777" w:rsidR="00090591" w:rsidRDefault="008E2482">
      <w:pPr>
        <w:spacing w:before="240" w:after="240" w:line="240" w:lineRule="auto"/>
        <w:jc w:val="both"/>
        <w:rPr>
          <w:b/>
        </w:rPr>
      </w:pPr>
      <w:r>
        <w:t>Assembleia da República, 11 de abril de 2023</w:t>
      </w:r>
    </w:p>
    <w:p w14:paraId="45E77734" w14:textId="77777777" w:rsidR="00090591" w:rsidRDefault="00090591">
      <w:pPr>
        <w:jc w:val="center"/>
        <w:rPr>
          <w:b/>
        </w:rPr>
      </w:pPr>
    </w:p>
    <w:p w14:paraId="5BD4EFD6" w14:textId="77777777" w:rsidR="00090591" w:rsidRDefault="008E2482">
      <w:pPr>
        <w:jc w:val="center"/>
        <w:rPr>
          <w:b/>
        </w:rPr>
      </w:pPr>
      <w:r>
        <w:rPr>
          <w:b/>
        </w:rPr>
        <w:t>O Deputado do LIVRE</w:t>
      </w:r>
    </w:p>
    <w:p w14:paraId="1301DECE" w14:textId="77777777" w:rsidR="00090591" w:rsidRDefault="008E2482">
      <w:pPr>
        <w:jc w:val="center"/>
      </w:pPr>
      <w:r>
        <w:rPr>
          <w:b/>
        </w:rPr>
        <w:t>Rui Tavares</w:t>
      </w:r>
    </w:p>
    <w:sectPr w:rsidR="00090591">
      <w:footerReference w:type="default" r:id="rId8"/>
      <w:pgSz w:w="11906" w:h="16838"/>
      <w:pgMar w:top="1440" w:right="1440" w:bottom="10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3F90" w14:textId="77777777" w:rsidR="00000000" w:rsidRDefault="008E2482">
      <w:pPr>
        <w:spacing w:line="240" w:lineRule="auto"/>
      </w:pPr>
      <w:r>
        <w:separator/>
      </w:r>
    </w:p>
  </w:endnote>
  <w:endnote w:type="continuationSeparator" w:id="0">
    <w:p w14:paraId="077F0F9A" w14:textId="77777777" w:rsidR="00000000" w:rsidRDefault="008E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D4B8" w14:textId="77777777" w:rsidR="00090591" w:rsidRDefault="008E2482">
    <w:pPr>
      <w:jc w:val="right"/>
    </w:pPr>
    <w:r>
      <w:rPr>
        <w:color w:val="222222"/>
      </w:rPr>
      <w:fldChar w:fldCharType="begin"/>
    </w:r>
    <w:r>
      <w:rPr>
        <w:color w:val="222222"/>
      </w:rPr>
      <w:instrText>PAGE</w:instrText>
    </w:r>
    <w:r>
      <w:rPr>
        <w:color w:val="222222"/>
      </w:rPr>
      <w:fldChar w:fldCharType="separate"/>
    </w:r>
    <w:r>
      <w:rPr>
        <w:noProof/>
        <w:color w:val="222222"/>
      </w:rPr>
      <w:t>1</w:t>
    </w:r>
    <w:r>
      <w:rPr>
        <w:color w:val="2222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13B4" w14:textId="77777777" w:rsidR="00000000" w:rsidRDefault="008E2482">
      <w:pPr>
        <w:spacing w:line="240" w:lineRule="auto"/>
      </w:pPr>
      <w:r>
        <w:separator/>
      </w:r>
    </w:p>
  </w:footnote>
  <w:footnote w:type="continuationSeparator" w:id="0">
    <w:p w14:paraId="37F932B7" w14:textId="77777777" w:rsidR="00000000" w:rsidRDefault="008E2482">
      <w:pPr>
        <w:spacing w:line="240" w:lineRule="auto"/>
      </w:pPr>
      <w:r>
        <w:continuationSeparator/>
      </w:r>
    </w:p>
  </w:footnote>
  <w:footnote w:id="1">
    <w:p w14:paraId="061FADB5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">
        <w:r>
          <w:rPr>
            <w:color w:val="1155CC"/>
            <w:sz w:val="16"/>
            <w:szCs w:val="16"/>
            <w:u w:val="single"/>
          </w:rPr>
          <w:t>https://www.benelux.int/files/4216/5657/3223/European.Cycling.Declaration_SI.signed.pdf</w:t>
        </w:r>
      </w:hyperlink>
    </w:p>
  </w:footnote>
  <w:footnote w:id="2">
    <w:p w14:paraId="0857B24D" w14:textId="77777777" w:rsidR="00090591" w:rsidRDefault="008E2482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16"/>
            <w:szCs w:val="16"/>
            <w:u w:val="single"/>
          </w:rPr>
          <w:t>https://www.europarl.europa.eu/doceo/document/B-9-2023-0102_EN.html</w:t>
        </w:r>
      </w:hyperlink>
    </w:p>
  </w:footnote>
  <w:footnote w:id="3">
    <w:p w14:paraId="275FFAA2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16"/>
            <w:szCs w:val="16"/>
            <w:u w:val="single"/>
          </w:rPr>
          <w:t>https://ecf.com/news-and-events/news/european-cycling-declaration-announced-evp-timmermans-cie-summit</w:t>
        </w:r>
      </w:hyperlink>
      <w:r>
        <w:rPr>
          <w:sz w:val="16"/>
          <w:szCs w:val="16"/>
        </w:rPr>
        <w:t xml:space="preserve"> e </w:t>
      </w:r>
      <w:hyperlink r:id="rId4">
        <w:r>
          <w:rPr>
            <w:color w:val="1155CC"/>
            <w:sz w:val="16"/>
            <w:szCs w:val="16"/>
            <w:u w:val="single"/>
          </w:rPr>
          <w:t>https://ec.europa.eu/commission/presscorner/detail/en/SPEECH_23_1561</w:t>
        </w:r>
      </w:hyperlink>
      <w:r>
        <w:rPr>
          <w:sz w:val="16"/>
          <w:szCs w:val="16"/>
        </w:rPr>
        <w:t xml:space="preserve"> </w:t>
      </w:r>
    </w:p>
  </w:footnote>
  <w:footnote w:id="4">
    <w:p w14:paraId="281ED758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hyperlink r:id="rId5">
        <w:r>
          <w:rPr>
            <w:color w:val="1155CC"/>
            <w:sz w:val="16"/>
            <w:szCs w:val="16"/>
            <w:u w:val="single"/>
          </w:rPr>
          <w:t>https://dre.pt/application/conteudo/123666113</w:t>
        </w:r>
      </w:hyperlink>
      <w:r>
        <w:rPr>
          <w:sz w:val="16"/>
          <w:szCs w:val="16"/>
        </w:rPr>
        <w:t xml:space="preserve"> </w:t>
      </w:r>
    </w:p>
  </w:footnote>
  <w:footnote w:id="5">
    <w:p w14:paraId="4238112D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6">
        <w:r>
          <w:rPr>
            <w:color w:val="1155CC"/>
            <w:sz w:val="16"/>
            <w:szCs w:val="16"/>
            <w:u w:val="single"/>
          </w:rPr>
          <w:t>https://www.publico.pt/2023/01/09/azul/noticia/municipios-amigos-bicicleta-estao-pedalar-menos-estrategia-nacional-risco-203</w:t>
        </w:r>
        <w:r>
          <w:rPr>
            <w:color w:val="1155CC"/>
            <w:sz w:val="16"/>
            <w:szCs w:val="16"/>
            <w:u w:val="single"/>
          </w:rPr>
          <w:t>4130</w:t>
        </w:r>
      </w:hyperlink>
      <w:r>
        <w:rPr>
          <w:sz w:val="16"/>
          <w:szCs w:val="16"/>
        </w:rPr>
        <w:t xml:space="preserve"> </w:t>
      </w:r>
    </w:p>
  </w:footnote>
  <w:footnote w:id="6">
    <w:p w14:paraId="7BF7CCC0" w14:textId="77777777" w:rsidR="00090591" w:rsidRDefault="008E248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hyperlink r:id="rId7">
        <w:r>
          <w:rPr>
            <w:color w:val="1155CC"/>
            <w:sz w:val="16"/>
            <w:szCs w:val="16"/>
            <w:u w:val="single"/>
          </w:rPr>
          <w:t>https://tabulador.ine.pt/indicador/?id=0011704</w:t>
        </w:r>
      </w:hyperlink>
      <w:r>
        <w:rPr>
          <w:sz w:val="20"/>
          <w:szCs w:val="20"/>
        </w:rPr>
        <w:t xml:space="preserve"> </w:t>
      </w:r>
    </w:p>
  </w:footnote>
  <w:footnote w:id="7">
    <w:p w14:paraId="6C76E70C" w14:textId="77777777" w:rsidR="00090591" w:rsidRDefault="008E2482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hyperlink r:id="rId8">
        <w:r>
          <w:rPr>
            <w:color w:val="1155CC"/>
            <w:sz w:val="16"/>
            <w:szCs w:val="16"/>
            <w:u w:val="single"/>
          </w:rPr>
          <w:t>https://censos.ine.pt/xportal/xmain?</w:t>
        </w:r>
        <w:r>
          <w:rPr>
            <w:color w:val="1155CC"/>
            <w:sz w:val="16"/>
            <w:szCs w:val="16"/>
            <w:u w:val="single"/>
          </w:rPr>
          <w:t>xpid=CENSOS&amp;xpgid=ine_censos_indicador&amp;contexto=ind&amp;indOcorrCod=0007093&amp;selTab=tab10</w:t>
        </w:r>
      </w:hyperlink>
      <w:r>
        <w:rPr>
          <w:sz w:val="16"/>
          <w:szCs w:val="16"/>
        </w:rPr>
        <w:t xml:space="preserve"> </w:t>
      </w:r>
    </w:p>
  </w:footnote>
  <w:footnote w:id="8">
    <w:p w14:paraId="288A9698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9">
        <w:r>
          <w:rPr>
            <w:color w:val="1155CC"/>
            <w:sz w:val="16"/>
            <w:szCs w:val="16"/>
            <w:u w:val="single"/>
          </w:rPr>
          <w:t>https://www.ine.pt/xportal/xmain?</w:t>
        </w:r>
        <w:r>
          <w:rPr>
            <w:color w:val="1155CC"/>
            <w:sz w:val="16"/>
            <w:szCs w:val="16"/>
            <w:u w:val="single"/>
          </w:rPr>
          <w:t>xpid=INE&amp;xpgid=ine_publicacoes&amp;PUBLICACOESpub_boui=66320870&amp;PUBLICACOESmodo=2</w:t>
        </w:r>
      </w:hyperlink>
      <w:r>
        <w:rPr>
          <w:sz w:val="16"/>
          <w:szCs w:val="16"/>
        </w:rPr>
        <w:t xml:space="preserve"> </w:t>
      </w:r>
    </w:p>
  </w:footnote>
  <w:footnote w:id="9">
    <w:p w14:paraId="67C019F6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0">
        <w:r>
          <w:rPr>
            <w:color w:val="1155CC"/>
            <w:sz w:val="16"/>
            <w:szCs w:val="16"/>
            <w:u w:val="single"/>
          </w:rPr>
          <w:t>https://mubi.pt/en/2022/10/06/seis-medidas-prioritarias-oe2023/</w:t>
        </w:r>
      </w:hyperlink>
      <w:r>
        <w:rPr>
          <w:sz w:val="16"/>
          <w:szCs w:val="16"/>
        </w:rPr>
        <w:t xml:space="preserve"> </w:t>
      </w:r>
    </w:p>
  </w:footnote>
  <w:footnote w:id="10">
    <w:p w14:paraId="4FB0DCEA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1">
        <w:r>
          <w:rPr>
            <w:color w:val="1155CC"/>
            <w:sz w:val="16"/>
            <w:szCs w:val="16"/>
            <w:u w:val="single"/>
          </w:rPr>
          <w:t>https://mubi.pt/wp-content/uploads/2022/04/2022.04-Propostas-MUBi-OE2022.pdf</w:t>
        </w:r>
      </w:hyperlink>
      <w:r>
        <w:rPr>
          <w:sz w:val="16"/>
          <w:szCs w:val="16"/>
        </w:rPr>
        <w:t xml:space="preserve"> </w:t>
      </w:r>
    </w:p>
  </w:footnote>
  <w:footnote w:id="11">
    <w:p w14:paraId="4F17E216" w14:textId="77777777" w:rsidR="00090591" w:rsidRDefault="008E248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2">
        <w:r>
          <w:rPr>
            <w:color w:val="1155CC"/>
            <w:sz w:val="16"/>
            <w:szCs w:val="16"/>
            <w:u w:val="single"/>
          </w:rPr>
          <w:t>https://www.publico.</w:t>
        </w:r>
        <w:r>
          <w:rPr>
            <w:color w:val="1155CC"/>
            <w:sz w:val="16"/>
            <w:szCs w:val="16"/>
            <w:u w:val="single"/>
          </w:rPr>
          <w:t>pt/2023/04/06/economia/noticia/portugal-aumenta-exportacao-bicicletas-20-face-2022-2045326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8A"/>
    <w:multiLevelType w:val="multilevel"/>
    <w:tmpl w:val="CFAA6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420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91"/>
    <w:rsid w:val="00090591"/>
    <w:rsid w:val="008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F441"/>
  <w15:docId w15:val="{38DE1261-6604-459F-86AF-4FABFE8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os.ine.pt/xportal/xmain?xpid=CENSOS&amp;xpgid=ine_censos_indicador&amp;contexto=ind&amp;indOcorrCod=0007093&amp;selTab=tab10" TargetMode="External"/><Relationship Id="rId3" Type="http://schemas.openxmlformats.org/officeDocument/2006/relationships/hyperlink" Target="https://ecf.com/news-and-events/news/european-cycling-declaration-announced-evp-timmermans-cie-summit" TargetMode="External"/><Relationship Id="rId7" Type="http://schemas.openxmlformats.org/officeDocument/2006/relationships/hyperlink" Target="https://tabulador.ine.pt/indicador/?id=0011704" TargetMode="External"/><Relationship Id="rId12" Type="http://schemas.openxmlformats.org/officeDocument/2006/relationships/hyperlink" Target="https://www.publico.pt/2023/04/06/economia/noticia/portugal-aumenta-exportacao-bicicletas-20-face-2022-2045326" TargetMode="External"/><Relationship Id="rId2" Type="http://schemas.openxmlformats.org/officeDocument/2006/relationships/hyperlink" Target="https://www.europarl.europa.eu/doceo/document/B-9-2023-0102_EN.html" TargetMode="External"/><Relationship Id="rId1" Type="http://schemas.openxmlformats.org/officeDocument/2006/relationships/hyperlink" Target="https://www.benelux.int/files/4216/5657/3223/European.Cycling.Declaration_SI.signed.pdf" TargetMode="External"/><Relationship Id="rId6" Type="http://schemas.openxmlformats.org/officeDocument/2006/relationships/hyperlink" Target="https://www.publico.pt/2023/01/09/azul/noticia/municipios-amigos-bicicleta-estao-pedalar-menos-estrategia-nacional-risco-2034130" TargetMode="External"/><Relationship Id="rId11" Type="http://schemas.openxmlformats.org/officeDocument/2006/relationships/hyperlink" Target="https://mubi.pt/wp-content/uploads/2022/04/2022.04-Propostas-MUBi-OE2022.pdf" TargetMode="External"/><Relationship Id="rId5" Type="http://schemas.openxmlformats.org/officeDocument/2006/relationships/hyperlink" Target="https://dre.pt/application/conteudo/123666113" TargetMode="External"/><Relationship Id="rId10" Type="http://schemas.openxmlformats.org/officeDocument/2006/relationships/hyperlink" Target="https://mubi.pt/en/2022/10/06/seis-medidas-prioritarias-oe2023/" TargetMode="External"/><Relationship Id="rId4" Type="http://schemas.openxmlformats.org/officeDocument/2006/relationships/hyperlink" Target="https://ec.europa.eu/commission/presscorner/detail/en/SPEECH_23_1561" TargetMode="External"/><Relationship Id="rId9" Type="http://schemas.openxmlformats.org/officeDocument/2006/relationships/hyperlink" Target="https://www.ine.pt/xportal/xmain?xpid=INE&amp;xpgid=ine_publicacoes&amp;PUBLICACOESpub_boui=66320870&amp;PUBLICACOESmod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2023-04-10T23:00:00+00:00</DataDocumento>
    <NomeOriginalFicheiro xmlns="http://schemas.microsoft.com/sharepoint/v3">pjr605-XV.docx</NomeOriginalFicheiro>
    <IDFase xmlns="http://schemas.microsoft.com/sharepoint/v3">0</IDFase>
    <NRIniciativa xmlns="http://schemas.microsoft.com/sharepoint/v3">605</NRIniciativa>
    <IDIniciativa xmlns="http://schemas.microsoft.com/sharepoint/v3">152771</IDIniciativa>
  </documentManagement>
</p:properties>
</file>

<file path=customXml/itemProps1.xml><?xml version="1.0" encoding="utf-8"?>
<ds:datastoreItem xmlns:ds="http://schemas.openxmlformats.org/officeDocument/2006/customXml" ds:itemID="{EB2DD148-6BB0-469E-B03E-AB5BF9953CF6}"/>
</file>

<file path=customXml/itemProps2.xml><?xml version="1.0" encoding="utf-8"?>
<ds:datastoreItem xmlns:ds="http://schemas.openxmlformats.org/officeDocument/2006/customXml" ds:itemID="{52B54B3A-F99E-42E3-9A13-483C997BB55A}"/>
</file>

<file path=customXml/itemProps3.xml><?xml version="1.0" encoding="utf-8"?>
<ds:datastoreItem xmlns:ds="http://schemas.openxmlformats.org/officeDocument/2006/customXml" ds:itemID="{806AC5CE-C612-4C71-B42F-987FA0BB5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6667</Characters>
  <Application>Microsoft Office Word</Application>
  <DocSecurity>4</DocSecurity>
  <Lines>55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Pedro Camacho</dc:creator>
  <cp:lastModifiedBy>Pedro Camacho</cp:lastModifiedBy>
  <cp:revision>2</cp:revision>
  <dcterms:created xsi:type="dcterms:W3CDTF">2023-04-11T16:41:00Z</dcterms:created>
  <dcterms:modified xsi:type="dcterms:W3CDTF">2023-04-11T16:41:00Z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428200</vt:r8>
  </property>
</Properties>
</file>