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C3A3965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 xml:space="preserve">Projecto de Lei  n.º </w:t>
      </w:r>
      <w:r w:rsidR="00084F7F">
        <w:rPr>
          <w:rFonts w:ascii="Calibri Light" w:hAnsi="Calibri Light" w:cs="Calibri Light"/>
          <w:b/>
          <w:sz w:val="24"/>
          <w:szCs w:val="24"/>
          <w:highlight w:val="white"/>
        </w:rPr>
        <w:t>677</w:t>
      </w: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>/XV/</w:t>
      </w:r>
      <w:r w:rsidR="00084F7F">
        <w:rPr>
          <w:rFonts w:ascii="Calibri Light" w:hAnsi="Calibri Light" w:cs="Calibri Light"/>
          <w:b/>
          <w:sz w:val="24"/>
          <w:szCs w:val="24"/>
          <w:highlight w:val="white"/>
        </w:rPr>
        <w:t>1.ª</w:t>
      </w:r>
    </w:p>
    <w:p w14:paraId="00000003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11054">
        <w:rPr>
          <w:rFonts w:ascii="Calibri Light" w:hAnsi="Calibri Light" w:cs="Calibri Light"/>
          <w:b/>
          <w:sz w:val="24"/>
          <w:szCs w:val="24"/>
        </w:rPr>
        <w:t xml:space="preserve">Altera o Decreto-Lei n.º 58/2016, de 29 de agosto, assegurando </w:t>
      </w: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>atendimento presencial ao público</w:t>
      </w:r>
      <w:r w:rsidRPr="00D11054">
        <w:rPr>
          <w:rFonts w:ascii="Calibri Light" w:hAnsi="Calibri Light" w:cs="Calibri Light"/>
          <w:b/>
          <w:sz w:val="24"/>
          <w:szCs w:val="24"/>
        </w:rPr>
        <w:t xml:space="preserve"> aos beneficiários de atendimento prioritário</w:t>
      </w:r>
    </w:p>
    <w:p w14:paraId="00000004" w14:textId="77777777" w:rsidR="005A74C6" w:rsidRPr="00D11054" w:rsidRDefault="005A74C6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eading=h.ajdqma8te2tv" w:colFirst="0" w:colLast="0"/>
      <w:bookmarkEnd w:id="0"/>
    </w:p>
    <w:p w14:paraId="00000005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11054">
        <w:rPr>
          <w:rFonts w:ascii="Calibri Light" w:hAnsi="Calibri Light" w:cs="Calibri Light"/>
          <w:b/>
          <w:sz w:val="24"/>
          <w:szCs w:val="24"/>
        </w:rPr>
        <w:t>Exposição de motivos</w:t>
      </w:r>
    </w:p>
    <w:p w14:paraId="00000006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 xml:space="preserve">A Agência para a Modernização Administrativa, I.P. (AMA), foi criada em 2007, no âmbito do Programa de Reestruturação da Administração Central do Estado (PRACE), é o instituto público responsável pela promoção e desenvolvimento da modernização administrativa em Portugal. A sua atuação divide-se em três eixos: transformação digital, serviço público 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omnicanal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 xml:space="preserve"> e simplificação administrativa, encontrando-se sob superintendência e tutela do Secretário de Estado da Digitalização e da Modernização Administrativa.</w:t>
      </w:r>
    </w:p>
    <w:p w14:paraId="00000007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Com a criação da AMA, Portugal entrava na caminhada para o digital, com o intuito de desburocratizar a Administração Pública e de a tornar mais próxima dos cidadãos. Seguidamente criou-se o programa SIMPLEX que se apresenta como “Mais do que projetos, medidas ou ferramentas, o Simplex tem o condão de mudar a nossa vida para melhor. Torna-a mais simples. Para que criemos mais riqueza. Geremos mais emprego. Estejamos mais perto de quem precisamos”</w:t>
      </w:r>
      <w:r w:rsidRPr="00D11054">
        <w:rPr>
          <w:rFonts w:ascii="Calibri Light" w:hAnsi="Calibri Light" w:cs="Calibri Light"/>
          <w:sz w:val="24"/>
          <w:szCs w:val="24"/>
          <w:vertAlign w:val="superscript"/>
        </w:rPr>
        <w:footnoteReference w:id="1"/>
      </w:r>
      <w:r w:rsidRPr="00D11054">
        <w:rPr>
          <w:rFonts w:ascii="Calibri Light" w:hAnsi="Calibri Light" w:cs="Calibri Light"/>
          <w:sz w:val="24"/>
          <w:szCs w:val="24"/>
        </w:rPr>
        <w:t xml:space="preserve">. </w:t>
      </w:r>
    </w:p>
    <w:p w14:paraId="00000008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Mais recentemente o Plano de Recuperação e Resiliência prevê uma verba de € 2.460 milhões para a transição digital, sendo que destes, € 578 milhões são para aplicar na Administração Pública</w:t>
      </w:r>
      <w:r w:rsidRPr="00D11054">
        <w:rPr>
          <w:rFonts w:ascii="Calibri Light" w:hAnsi="Calibri Light" w:cs="Calibri Light"/>
          <w:sz w:val="24"/>
          <w:szCs w:val="24"/>
          <w:vertAlign w:val="superscript"/>
        </w:rPr>
        <w:footnoteReference w:id="2"/>
      </w:r>
      <w:r w:rsidRPr="00D11054">
        <w:rPr>
          <w:rFonts w:ascii="Calibri Light" w:hAnsi="Calibri Light" w:cs="Calibri Light"/>
          <w:sz w:val="24"/>
          <w:szCs w:val="24"/>
        </w:rPr>
        <w:t>.</w:t>
      </w:r>
    </w:p>
    <w:p w14:paraId="00000009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Portugal parece estar na linha da frente da transição digital, e dos seus cidadãos num “</w:t>
      </w:r>
      <w:proofErr w:type="spellStart"/>
      <w:r w:rsidRPr="00D11054">
        <w:rPr>
          <w:rFonts w:ascii="Calibri Light" w:hAnsi="Calibri Light" w:cs="Calibri Light"/>
          <w:i/>
          <w:sz w:val="24"/>
          <w:szCs w:val="24"/>
        </w:rPr>
        <w:t>click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 xml:space="preserve">”, terem toda a informação que necessitam na mão. Contudo, a teoria não corresponde à realidade e o período pandémico deixou-o bem evidente. </w:t>
      </w:r>
    </w:p>
    <w:p w14:paraId="0000000A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lastRenderedPageBreak/>
        <w:t xml:space="preserve">No final de novembro de 2022, já sem qualquer medida de restrição imposta devido à pandemia por COVID19, a Associação 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ProPública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 xml:space="preserve"> – Direito e Cidadania (“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ProPública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>”) denunciou a exigência de agendamento prévio para que um cidadão seja atendido nos serviços da Administração Pública, que inexplicavelmente se manteve pós período pandémico, de forma generalizada.</w:t>
      </w:r>
    </w:p>
    <w:p w14:paraId="0000000B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 xml:space="preserve">A denúncia dirigida ao Presidente da República, ao Primeiro-Ministro e à Provedora de Justiça, denunciava o supra exposto e tinha como 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objectivo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 xml:space="preserve"> eliminar as restrições de atendimento ainda existentes, por forma a que todos pudessem ter acesso efetivo, livre e direto aos serviços públicos sem necessidade de marcação. Acontece que, infelizmente, a situação se mantém 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exactamente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 xml:space="preserve"> igual. </w:t>
      </w:r>
    </w:p>
    <w:p w14:paraId="0000000C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Esta situação, tem afetado dezenas de milhares de pessoas, e para além de injusta, poderá considerar-se inconstitucional, na medida em que o artigo 267.º, n.º da Constituição da República Portuguesa, dispõe que</w:t>
      </w:r>
      <w:r w:rsidRPr="00D11054">
        <w:rPr>
          <w:rFonts w:ascii="Calibri Light" w:eastAsia="Roboto" w:hAnsi="Calibri Light" w:cs="Calibri Light"/>
          <w:sz w:val="23"/>
          <w:szCs w:val="23"/>
        </w:rPr>
        <w:t xml:space="preserve"> “1. A Administração Pública será estruturada de modo a evitar a burocratização, a aproximar os serviços das populações e a assegurar a participação dos interessados na sua gestão efetiva, designadamente por intermédio de associações públicas, organizações de moradores e outras formas de representação democrática.” E o que acontece é precisamente o contrário, a necessidade de agendamento prévio acresce a burocratização e afasta necessariamente as pessoas da Administração Pública. </w:t>
      </w:r>
      <w:r w:rsidRPr="00D11054">
        <w:rPr>
          <w:rFonts w:ascii="Calibri Light" w:hAnsi="Calibri Light" w:cs="Calibri Light"/>
          <w:sz w:val="24"/>
          <w:szCs w:val="24"/>
        </w:rPr>
        <w:t>Conforme Marcelo Rebelo de Sousa defende “O interesse público é o norte da Administração Pública”</w:t>
      </w:r>
      <w:r w:rsidRPr="00D11054">
        <w:rPr>
          <w:rFonts w:ascii="Calibri Light" w:hAnsi="Calibri Light" w:cs="Calibri Light"/>
          <w:sz w:val="24"/>
          <w:szCs w:val="24"/>
          <w:vertAlign w:val="superscript"/>
        </w:rPr>
        <w:footnoteReference w:id="3"/>
      </w:r>
      <w:r w:rsidRPr="00D11054">
        <w:rPr>
          <w:rFonts w:ascii="Calibri Light" w:hAnsi="Calibri Light" w:cs="Calibri Light"/>
          <w:sz w:val="24"/>
          <w:szCs w:val="24"/>
        </w:rPr>
        <w:t xml:space="preserve">, mas neste momento, não se pode dizer que isso esteja a acontecer. </w:t>
      </w:r>
    </w:p>
    <w:p w14:paraId="0000000D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 xml:space="preserve">Um dos princípios subjacentes à 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actividade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 xml:space="preserve"> administrativa é servir os cidadãos, portanto, os direitos de cidadania não são compatíveis com uma cultura organizativa de distanciamento, opacidade e não acessível de forma igual e transversal a todos os cidadãos.</w:t>
      </w:r>
    </w:p>
    <w:p w14:paraId="0000000E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lastRenderedPageBreak/>
        <w:t xml:space="preserve">Estas circunstâncias ganham especial gravidade pois as pessoas mais lesadas são precisamente aquelas que se encontram já numa situação de especial vulnerabilidade, nomeadamente os idosos. </w:t>
      </w:r>
    </w:p>
    <w:p w14:paraId="0000000F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Mais de metade dos idosos em Portugal nunca utilizou a Internet, Portugal é mesmo o terceiro país da UE onde mais idosos nunca usaram a internet, de acordo com um estudo do Eurostat, onde apenas Grécia e Bulgária registam valores abaixo de Portugal</w:t>
      </w:r>
      <w:r w:rsidRPr="00D11054">
        <w:rPr>
          <w:rFonts w:ascii="Calibri Light" w:hAnsi="Calibri Light" w:cs="Calibri Light"/>
          <w:sz w:val="24"/>
          <w:szCs w:val="24"/>
          <w:vertAlign w:val="superscript"/>
        </w:rPr>
        <w:footnoteReference w:id="4"/>
      </w:r>
      <w:r w:rsidRPr="00D11054">
        <w:rPr>
          <w:rFonts w:ascii="Calibri Light" w:hAnsi="Calibri Light" w:cs="Calibri Light"/>
          <w:sz w:val="24"/>
          <w:szCs w:val="24"/>
        </w:rPr>
        <w:t>.</w:t>
      </w:r>
    </w:p>
    <w:p w14:paraId="00000010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 xml:space="preserve">Isto acontece por desconhecimento relativamente ao uso correto da internet e à dificuldade em compreender as novas tecnologias, a falta de apoio e informação, dificuldades económicas, entre outros. Os custos associados à aquisição de </w:t>
      </w:r>
      <w:r w:rsidRPr="00D11054">
        <w:rPr>
          <w:rFonts w:ascii="Calibri Light" w:hAnsi="Calibri Light" w:cs="Calibri Light"/>
          <w:i/>
          <w:sz w:val="24"/>
          <w:szCs w:val="24"/>
        </w:rPr>
        <w:t>smartphones, bem</w:t>
      </w:r>
      <w:r w:rsidRPr="00D11054">
        <w:rPr>
          <w:rFonts w:ascii="Calibri Light" w:hAnsi="Calibri Light" w:cs="Calibri Light"/>
          <w:sz w:val="24"/>
          <w:szCs w:val="24"/>
        </w:rPr>
        <w:t xml:space="preserve"> como a um serviço de internet, desenvolvem também aqui o seu papel. O custo dos dados móveis em Portugal, por exemplo, é dos mais caros na Europa.</w:t>
      </w:r>
      <w:r w:rsidRPr="00D11054">
        <w:rPr>
          <w:rFonts w:ascii="Calibri Light" w:hAnsi="Calibri Light" w:cs="Calibri Light"/>
          <w:sz w:val="24"/>
          <w:szCs w:val="24"/>
          <w:vertAlign w:val="superscript"/>
        </w:rPr>
        <w:footnoteReference w:id="5"/>
      </w:r>
      <w:r w:rsidRPr="00D11054">
        <w:rPr>
          <w:rFonts w:ascii="Calibri Light" w:hAnsi="Calibri Light" w:cs="Calibri Light"/>
          <w:sz w:val="24"/>
          <w:szCs w:val="24"/>
        </w:rPr>
        <w:t xml:space="preserve">. </w:t>
      </w:r>
    </w:p>
    <w:p w14:paraId="00000011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Não se pode também ignorar o facto de os idosos serem mais vulneráveis a burlas informáticas, e são várias as que têm chegado por via digital em nome da Segurança Social, Autoridade Tributária, entidades bancárias, entre outras</w:t>
      </w:r>
      <w:r w:rsidRPr="00D11054">
        <w:rPr>
          <w:rFonts w:ascii="Calibri Light" w:hAnsi="Calibri Light" w:cs="Calibri Light"/>
          <w:sz w:val="24"/>
          <w:szCs w:val="24"/>
          <w:vertAlign w:val="superscript"/>
        </w:rPr>
        <w:footnoteReference w:id="6"/>
      </w:r>
      <w:r w:rsidRPr="00D11054">
        <w:rPr>
          <w:rFonts w:ascii="Calibri Light" w:hAnsi="Calibri Light" w:cs="Calibri Light"/>
          <w:sz w:val="24"/>
          <w:szCs w:val="24"/>
        </w:rPr>
        <w:t xml:space="preserve">. Para além dos idosos, as pessoas com deficiência ou incapacidade, dependendo das suas circunstâncias em particular, podem ver o seu acesso à Administração Pública dificultado. </w:t>
      </w:r>
    </w:p>
    <w:p w14:paraId="00000012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1" w:name="_heading=h.gjdgxs" w:colFirst="0" w:colLast="0"/>
      <w:bookmarkEnd w:id="1"/>
      <w:r w:rsidRPr="00D11054">
        <w:rPr>
          <w:rFonts w:ascii="Calibri Light" w:hAnsi="Calibri Light" w:cs="Calibri Light"/>
          <w:sz w:val="24"/>
          <w:szCs w:val="24"/>
        </w:rPr>
        <w:t xml:space="preserve">O Decreto-Lei n.º 58/2016, de 29 de agosto, determina que todas as entidades públicas e privadas, singulares e coletivas, que prestem atendimento presencial ao público, estão obrigadas a prestar atendimento prioritário às pessoas com deficiência ou incapacidade, pessoas idosas, grávidas e pessoas acompanhadas com crianças de colo. O actual sistema de marcação prévia pode mesmo colocar em causa este atendimento prioritário, por exemplo, o pedido de marcação de atendimento presencial no site da autoridade tributária não assegura de forma nenhuma que existe prioridade na marcação do atendimento em razão do disposto no 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art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>. 3.º., Decreto-Lei n.º 58/2016, de 29 de agosto.</w:t>
      </w:r>
    </w:p>
    <w:p w14:paraId="00000013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2" w:name="_heading=h.ij57b2jj7ha9" w:colFirst="0" w:colLast="0"/>
      <w:bookmarkEnd w:id="2"/>
      <w:r w:rsidRPr="00D11054">
        <w:rPr>
          <w:rFonts w:ascii="Calibri Light" w:hAnsi="Calibri Light" w:cs="Calibri Light"/>
          <w:sz w:val="24"/>
          <w:szCs w:val="24"/>
        </w:rPr>
        <w:lastRenderedPageBreak/>
        <w:t>Ora estando os serviços da Administração Pública, na sua maioria, ainda a funcionar apenas com atendimento por agendamento prévio, via telefone ou internet, facilmente percebemos a dificuldade para determinadas pessoas em ter acesso aos serviços públicos em questão.</w:t>
      </w:r>
    </w:p>
    <w:p w14:paraId="00000014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3" w:name="_heading=h.izcgm41zb7ut" w:colFirst="0" w:colLast="0"/>
      <w:bookmarkEnd w:id="3"/>
      <w:r w:rsidRPr="00D11054">
        <w:rPr>
          <w:rFonts w:ascii="Calibri Light" w:hAnsi="Calibri Light" w:cs="Calibri Light"/>
          <w:sz w:val="24"/>
          <w:szCs w:val="24"/>
        </w:rPr>
        <w:t xml:space="preserve">É, assim, convicção do CHEGA que esta situação tem necessariamente que ser alterada, até para que se cumpra o disposto no </w:t>
      </w:r>
      <w:proofErr w:type="spellStart"/>
      <w:r w:rsidRPr="00D11054">
        <w:rPr>
          <w:rFonts w:ascii="Calibri Light" w:hAnsi="Calibri Light" w:cs="Calibri Light"/>
          <w:sz w:val="24"/>
          <w:szCs w:val="24"/>
        </w:rPr>
        <w:t>art</w:t>
      </w:r>
      <w:proofErr w:type="spellEnd"/>
      <w:r w:rsidRPr="00D11054">
        <w:rPr>
          <w:rFonts w:ascii="Calibri Light" w:hAnsi="Calibri Light" w:cs="Calibri Light"/>
          <w:sz w:val="24"/>
          <w:szCs w:val="24"/>
        </w:rPr>
        <w:t>. 266.º da Constituição da República Portuguesa, que determina que “Os órgãos e agentes administrativos estão subordinados à Constituição e à lei e devem atuar, no exercício das suas funções, com respeito pelos princípios da igualdade, da proporcionalidade, da justiça, da imparcialidade e da boa-fé.”, o que manifestamente não tem acontecido.</w:t>
      </w:r>
    </w:p>
    <w:p w14:paraId="00000015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Assim, ao abrigo das disposições constitucionais e regimentalmente aplicáveis, os Deputados do Grupo Parlamentar do CHEGA, apresentam o seguinte Projeto de Lei:</w:t>
      </w:r>
    </w:p>
    <w:p w14:paraId="00000016" w14:textId="77777777" w:rsidR="005A74C6" w:rsidRPr="00D11054" w:rsidRDefault="005A74C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000017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white"/>
        </w:rPr>
      </w:pPr>
      <w:bookmarkStart w:id="4" w:name="_heading=h.30j0zll" w:colFirst="0" w:colLast="0"/>
      <w:bookmarkEnd w:id="4"/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>Artigo 1º</w:t>
      </w:r>
    </w:p>
    <w:p w14:paraId="00000018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>Objeto</w:t>
      </w:r>
    </w:p>
    <w:p w14:paraId="00000019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5" w:name="_heading=h.1fob9te" w:colFirst="0" w:colLast="0"/>
      <w:bookmarkEnd w:id="5"/>
      <w:r w:rsidRPr="00D11054">
        <w:rPr>
          <w:rFonts w:ascii="Calibri Light" w:hAnsi="Calibri Light" w:cs="Calibri Light"/>
          <w:sz w:val="24"/>
          <w:szCs w:val="24"/>
        </w:rPr>
        <w:t xml:space="preserve">O presente diploma procede à alteração do Decreto-Lei n.º 58/2016, de 29 de agosto, que </w:t>
      </w:r>
      <w:r w:rsidRPr="00D11054">
        <w:rPr>
          <w:rFonts w:ascii="Calibri Light" w:hAnsi="Calibri Light" w:cs="Calibri Light"/>
          <w:sz w:val="24"/>
          <w:szCs w:val="24"/>
          <w:highlight w:val="white"/>
        </w:rPr>
        <w:t>Institui a obrigatoriedade de prestar atendimento prioritário às pessoas com deficiência ou incapacidade, pessoas idosas, grávidas e pessoas acompanhadas de crianças de colo, para todas as entidades públicas e privadas que prestem atendimento presencial ao público</w:t>
      </w:r>
      <w:r w:rsidRPr="00D11054">
        <w:rPr>
          <w:rFonts w:ascii="Calibri Light" w:hAnsi="Calibri Light" w:cs="Calibri Light"/>
          <w:sz w:val="24"/>
          <w:szCs w:val="24"/>
        </w:rPr>
        <w:t xml:space="preserve">, alterado pelo DL n.º 9/2021, de 29/01, de forma a assegurar a existência de atendimento presencial para os beneficiários de atendimento prioritário. </w:t>
      </w:r>
    </w:p>
    <w:p w14:paraId="0000001A" w14:textId="13F776C8" w:rsidR="005A74C6" w:rsidRDefault="005A74C6">
      <w:pPr>
        <w:spacing w:line="360" w:lineRule="auto"/>
        <w:jc w:val="both"/>
        <w:rPr>
          <w:rFonts w:ascii="Calibri Light" w:hAnsi="Calibri Light" w:cs="Calibri Light"/>
          <w:sz w:val="24"/>
          <w:szCs w:val="24"/>
          <w:highlight w:val="white"/>
        </w:rPr>
      </w:pPr>
    </w:p>
    <w:p w14:paraId="179494A0" w14:textId="3A1679EB" w:rsidR="00D11054" w:rsidRDefault="00D11054">
      <w:pPr>
        <w:spacing w:line="360" w:lineRule="auto"/>
        <w:jc w:val="both"/>
        <w:rPr>
          <w:rFonts w:ascii="Calibri Light" w:hAnsi="Calibri Light" w:cs="Calibri Light"/>
          <w:sz w:val="24"/>
          <w:szCs w:val="24"/>
          <w:highlight w:val="white"/>
        </w:rPr>
      </w:pPr>
    </w:p>
    <w:p w14:paraId="0B500444" w14:textId="77777777" w:rsidR="00D11054" w:rsidRPr="00D11054" w:rsidRDefault="00D11054">
      <w:pPr>
        <w:spacing w:line="360" w:lineRule="auto"/>
        <w:jc w:val="both"/>
        <w:rPr>
          <w:rFonts w:ascii="Calibri Light" w:hAnsi="Calibri Light" w:cs="Calibri Light"/>
          <w:sz w:val="24"/>
          <w:szCs w:val="24"/>
          <w:highlight w:val="white"/>
        </w:rPr>
      </w:pPr>
    </w:p>
    <w:p w14:paraId="0000001B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>Artigo 2º</w:t>
      </w:r>
    </w:p>
    <w:p w14:paraId="0000001C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lastRenderedPageBreak/>
        <w:t>Alteração ao Decreto-Lei n.º 58/2019, de 29 de agosto</w:t>
      </w:r>
    </w:p>
    <w:p w14:paraId="0000001D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sz w:val="24"/>
          <w:szCs w:val="24"/>
          <w:highlight w:val="white"/>
        </w:rPr>
        <w:t>É alterado o artigo 3.º do Decreto-Lei n.º 58/2019, de 29 de agosto, e posteriores alterações, passa a ter a seguinte redação:</w:t>
      </w:r>
    </w:p>
    <w:p w14:paraId="0000001E" w14:textId="77777777" w:rsidR="005A74C6" w:rsidRPr="00D11054" w:rsidRDefault="005A74C6">
      <w:pPr>
        <w:spacing w:line="360" w:lineRule="auto"/>
        <w:jc w:val="both"/>
        <w:rPr>
          <w:rFonts w:ascii="Calibri Light" w:hAnsi="Calibri Light" w:cs="Calibri Light"/>
          <w:sz w:val="24"/>
          <w:szCs w:val="24"/>
          <w:highlight w:val="yellow"/>
        </w:rPr>
      </w:pPr>
    </w:p>
    <w:p w14:paraId="0000001F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“Artigo 3.º</w:t>
      </w:r>
    </w:p>
    <w:p w14:paraId="00000020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(...)</w:t>
      </w:r>
    </w:p>
    <w:p w14:paraId="00000021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1 – (…).</w:t>
      </w:r>
    </w:p>
    <w:p w14:paraId="00000022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2 - (…).</w:t>
      </w:r>
    </w:p>
    <w:p w14:paraId="00000023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3 – (…).</w:t>
      </w:r>
    </w:p>
    <w:p w14:paraId="00000024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D11054">
        <w:rPr>
          <w:rFonts w:ascii="Calibri Light" w:hAnsi="Calibri Light" w:cs="Calibri Light"/>
          <w:b/>
          <w:sz w:val="24"/>
          <w:szCs w:val="24"/>
        </w:rPr>
        <w:t>4 – Sem prejuízo da disponibilidade de formas de atendimento alternativo, é obrigatório disponibilizar atendimento presencial sem marcação prévia para as pessoas previstas no n.º 1 do presente artigo, em todos os serviços da Administração Pública.”</w:t>
      </w:r>
    </w:p>
    <w:p w14:paraId="00000025" w14:textId="77777777" w:rsidR="005A74C6" w:rsidRPr="00D11054" w:rsidRDefault="005A74C6">
      <w:pPr>
        <w:spacing w:line="360" w:lineRule="auto"/>
        <w:jc w:val="both"/>
        <w:rPr>
          <w:rFonts w:ascii="Calibri Light" w:hAnsi="Calibri Light" w:cs="Calibri Light"/>
          <w:sz w:val="24"/>
          <w:szCs w:val="24"/>
          <w:highlight w:val="yellow"/>
        </w:rPr>
      </w:pPr>
    </w:p>
    <w:p w14:paraId="00000026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>Artigo 3º</w:t>
      </w:r>
    </w:p>
    <w:p w14:paraId="00000027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b/>
          <w:sz w:val="24"/>
          <w:szCs w:val="24"/>
          <w:highlight w:val="white"/>
        </w:rPr>
        <w:t>Entrada em vigor</w:t>
      </w:r>
    </w:p>
    <w:p w14:paraId="00000028" w14:textId="77777777" w:rsidR="005A74C6" w:rsidRPr="00D11054" w:rsidRDefault="0045026B">
      <w:pPr>
        <w:spacing w:line="360" w:lineRule="auto"/>
        <w:jc w:val="both"/>
        <w:rPr>
          <w:rFonts w:ascii="Calibri Light" w:hAnsi="Calibri Light" w:cs="Calibri Light"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sz w:val="24"/>
          <w:szCs w:val="24"/>
          <w:highlight w:val="white"/>
        </w:rPr>
        <w:t xml:space="preserve">A presente lei entra em vigor no dia seguinte à sua publicação em Diário da República. </w:t>
      </w:r>
    </w:p>
    <w:p w14:paraId="00000029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highlight w:val="white"/>
        </w:rPr>
      </w:pPr>
      <w:r w:rsidRPr="00D11054">
        <w:rPr>
          <w:rFonts w:ascii="Calibri Light" w:hAnsi="Calibri Light" w:cs="Calibri Light"/>
          <w:sz w:val="24"/>
          <w:szCs w:val="24"/>
          <w:highlight w:val="white"/>
        </w:rPr>
        <w:t>Palácio de São Bento, 17 de março de 2023,</w:t>
      </w:r>
    </w:p>
    <w:p w14:paraId="0000002A" w14:textId="77777777" w:rsidR="005A74C6" w:rsidRPr="00D11054" w:rsidRDefault="005A74C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00002B" w14:textId="77777777" w:rsidR="005A74C6" w:rsidRPr="00D11054" w:rsidRDefault="0045026B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Os Deputados do Grupo Parlamentar do CHEGA,</w:t>
      </w:r>
    </w:p>
    <w:p w14:paraId="0000002F" w14:textId="64596562" w:rsidR="005A74C6" w:rsidRPr="00D11054" w:rsidRDefault="0045026B" w:rsidP="00D11054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D11054">
        <w:rPr>
          <w:rFonts w:ascii="Calibri Light" w:hAnsi="Calibri Light" w:cs="Calibri Light"/>
          <w:sz w:val="24"/>
          <w:szCs w:val="24"/>
        </w:rPr>
        <w:t>André Ventura - Bruno Nunes - Diogo Pacheco de Amorim - Filipe Melo - Gabriel Mithá Ribeiro - Jorge Galveias - Pedro Frazão - Pedro Pessanha - Pedro Pinto - Rita Matias - Rui Afonso - Rui Paulo Sousa</w:t>
      </w:r>
    </w:p>
    <w:sectPr w:rsidR="005A74C6" w:rsidRPr="00D11054" w:rsidSect="00D11054">
      <w:headerReference w:type="default" r:id="rId7"/>
      <w:footerReference w:type="default" r:id="rId8"/>
      <w:pgSz w:w="11906" w:h="16838"/>
      <w:pgMar w:top="1417" w:right="1701" w:bottom="1417" w:left="1701" w:header="709" w:footer="11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887C" w14:textId="77777777" w:rsidR="0045026B" w:rsidRDefault="0045026B">
      <w:pPr>
        <w:spacing w:after="0" w:line="240" w:lineRule="auto"/>
      </w:pPr>
      <w:r>
        <w:separator/>
      </w:r>
    </w:p>
  </w:endnote>
  <w:endnote w:type="continuationSeparator" w:id="0">
    <w:p w14:paraId="7ACCAF34" w14:textId="77777777" w:rsidR="0045026B" w:rsidRDefault="004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694C0AB1" w:rsidR="005A74C6" w:rsidRDefault="00D110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31566" wp14:editId="4022C744">
          <wp:simplePos x="0" y="0"/>
          <wp:positionH relativeFrom="margin">
            <wp:align>center</wp:align>
          </wp:positionH>
          <wp:positionV relativeFrom="paragraph">
            <wp:posOffset>23881</wp:posOffset>
          </wp:positionV>
          <wp:extent cx="2061845" cy="6623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60BE" w14:textId="77777777" w:rsidR="0045026B" w:rsidRDefault="0045026B">
      <w:pPr>
        <w:spacing w:after="0" w:line="240" w:lineRule="auto"/>
      </w:pPr>
      <w:r>
        <w:separator/>
      </w:r>
    </w:p>
  </w:footnote>
  <w:footnote w:type="continuationSeparator" w:id="0">
    <w:p w14:paraId="6331EA7E" w14:textId="77777777" w:rsidR="0045026B" w:rsidRDefault="0045026B">
      <w:pPr>
        <w:spacing w:after="0" w:line="240" w:lineRule="auto"/>
      </w:pPr>
      <w:r>
        <w:continuationSeparator/>
      </w:r>
    </w:p>
  </w:footnote>
  <w:footnote w:id="1">
    <w:p w14:paraId="00000030" w14:textId="77777777" w:rsidR="005A74C6" w:rsidRDefault="00450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https://www.simplex.gov.pt/</w:t>
      </w:r>
    </w:p>
  </w:footnote>
  <w:footnote w:id="2">
    <w:p w14:paraId="00000031" w14:textId="77777777" w:rsidR="005A74C6" w:rsidRDefault="00450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https://expresso.pt/iniciativaseprodutos/projetos-expresso/2021-05-24-A-transformacao-digital-na-administracao-publica-o-que-ja-esta-a-ser-feito-e-o-impacto-do-PRR-024f64d9</w:t>
      </w:r>
    </w:p>
  </w:footnote>
  <w:footnote w:id="3">
    <w:p w14:paraId="00000036" w14:textId="77777777" w:rsidR="005A74C6" w:rsidRDefault="0045026B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Rebelo de Sousa, Direito Administrativo Geral, Introdução e Princípios fundamentais, Tomo I, Dom Quixote, Lisboa, 2ª edição, 2006, página 44.</w:t>
      </w:r>
    </w:p>
  </w:footnote>
  <w:footnote w:id="4">
    <w:p w14:paraId="00000032" w14:textId="77777777" w:rsidR="005A74C6" w:rsidRDefault="00450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https://www.sabado.pt/mundo/amp/portugal-e-o-terceiro-pais-da-ue-onde-mais-pessoas-nunca-usaram-a-internet</w:t>
      </w:r>
    </w:p>
  </w:footnote>
  <w:footnote w:id="5">
    <w:p w14:paraId="00000033" w14:textId="77777777" w:rsidR="005A74C6" w:rsidRDefault="00450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https://www.comparamais.pt/blog/internet-movel-portugal-europa</w:t>
      </w:r>
    </w:p>
  </w:footnote>
  <w:footnote w:id="6">
    <w:p w14:paraId="00000037" w14:textId="77777777" w:rsidR="005A74C6" w:rsidRDefault="0045026B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Alerta: Mensagens fraudulentas de notificação indevida de dívida - Notícias - seg-social.pt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4319617A" w:rsidR="005A74C6" w:rsidRDefault="00D110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BD6946" wp14:editId="2B16A797">
          <wp:simplePos x="0" y="0"/>
          <wp:positionH relativeFrom="margin">
            <wp:align>center</wp:align>
          </wp:positionH>
          <wp:positionV relativeFrom="paragraph">
            <wp:posOffset>-8559</wp:posOffset>
          </wp:positionV>
          <wp:extent cx="1695450" cy="662305"/>
          <wp:effectExtent l="0" t="0" r="0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C6"/>
    <w:rsid w:val="00084F7F"/>
    <w:rsid w:val="0045026B"/>
    <w:rsid w:val="00540EFE"/>
    <w:rsid w:val="005A74C6"/>
    <w:rsid w:val="00D11054"/>
    <w:rsid w:val="00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D843"/>
  <w15:docId w15:val="{33375DD0-1973-4903-A3F1-7762381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6FAD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6FA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6FAD"/>
    <w:rPr>
      <w:rFonts w:ascii="Calibri" w:eastAsia="Calibri" w:hAnsi="Calibri" w:cs="Calibr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6FAD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5F27F4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27F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g-social.pt/noticias/-/asset_publisher/kBZtOMZgstp3/content/alerta-mensagens-fraudulentas-de-notificacao-indevida-de-divi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5GRS+GfkQ4NTT3VUcHmyuwNMSQ==">AMUW2mUh4Vrb4D1AAMRIUin+N9hKgc/EsUSomPhTtzHJ6Hb1vb2tqs1MKttvYmHPF79ptDPVHKrHUkcdecYEmOzXOiegyTvmigsF4uR6+DjSWwTiz4U901uuy+IRP/ZMwuJsul1IguKlEMIa7UHZfeOQ28A/MHyZK8U9Lwe3K44BwQ2e5vpyDWloYxIPVOKw5VytPBZ2W0toO3axuZxAz90btUpJI6RYubG+KPEHRaBPbos4XxOYAPw=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2023-03-17T00:00:00+00:00</DataDocumento>
    <NomeOriginalFicheiro xmlns="http://schemas.microsoft.com/sharepoint/v3">pjl677-XV.docx</NomeOriginalFicheiro>
    <IDFase xmlns="http://schemas.microsoft.com/sharepoint/v3">0</IDFase>
    <NRIniciativa xmlns="http://schemas.microsoft.com/sharepoint/v3">677</NRIniciativa>
    <IDIniciativa xmlns="http://schemas.microsoft.com/sharepoint/v3">152684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ACE3D0-562D-4468-8D0C-8B096D13BA71}"/>
</file>

<file path=customXml/itemProps3.xml><?xml version="1.0" encoding="utf-8"?>
<ds:datastoreItem xmlns:ds="http://schemas.openxmlformats.org/officeDocument/2006/customXml" ds:itemID="{C600A0A5-585A-4E22-9047-FF8E12806E54}"/>
</file>

<file path=customXml/itemProps4.xml><?xml version="1.0" encoding="utf-8"?>
<ds:datastoreItem xmlns:ds="http://schemas.openxmlformats.org/officeDocument/2006/customXml" ds:itemID="{8F411C20-3489-4121-AEF7-5A14CBEBE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6492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Jose Tome</dc:creator>
  <cp:lastModifiedBy>Beatriz Zoccoli</cp:lastModifiedBy>
  <cp:revision>2</cp:revision>
  <cp:lastPrinted>2023-03-17T12:57:00Z</cp:lastPrinted>
  <dcterms:created xsi:type="dcterms:W3CDTF">2023-03-17T16:18:00Z</dcterms:created>
  <dcterms:modified xsi:type="dcterms:W3CDTF">2023-03-17T16:18:00Z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401800</vt:r8>
  </property>
</Properties>
</file>