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944E" w14:textId="77777777" w:rsidR="00D36D03" w:rsidRDefault="00D36D03">
      <w:pPr>
        <w:numPr>
          <w:ilvl w:val="0"/>
          <w:numId w:val="1"/>
        </w:numPr>
        <w:pBdr>
          <w:top w:val="none" w:sz="0" w:space="3" w:color="auto"/>
          <w:bottom w:val="none" w:sz="0" w:space="12" w:color="auto"/>
          <w:right w:val="none" w:sz="0" w:space="12" w:color="auto"/>
        </w:pBdr>
        <w:shd w:val="clear" w:color="auto" w:fill="FFFFFF"/>
        <w:spacing w:line="36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092853A6" w14:textId="0B45274F" w:rsidR="00D36D03" w:rsidRDefault="00E44E10">
      <w:pPr>
        <w:numPr>
          <w:ilvl w:val="0"/>
          <w:numId w:val="1"/>
        </w:numPr>
        <w:spacing w:line="360" w:lineRule="auto"/>
        <w:jc w:val="center"/>
        <w:rPr>
          <w:rFonts w:ascii="Calibri" w:eastAsia="Calibri" w:hAnsi="Calibri" w:cs="Calibri"/>
          <w:sz w:val="26"/>
          <w:szCs w:val="26"/>
        </w:rPr>
      </w:pPr>
      <w:bookmarkStart w:id="0" w:name="_35nkun2" w:colFirst="0" w:colLast="0"/>
      <w:bookmarkEnd w:id="0"/>
      <w:r>
        <w:rPr>
          <w:rFonts w:ascii="Calibri" w:eastAsia="Calibri" w:hAnsi="Calibri" w:cs="Calibri"/>
          <w:b/>
          <w:sz w:val="26"/>
          <w:szCs w:val="26"/>
        </w:rPr>
        <w:t>Projeto de Lei n.º 433</w:t>
      </w:r>
      <w:r>
        <w:rPr>
          <w:rFonts w:ascii="Calibri" w:eastAsia="Calibri" w:hAnsi="Calibri" w:cs="Calibri"/>
          <w:b/>
          <w:sz w:val="26"/>
          <w:szCs w:val="26"/>
        </w:rPr>
        <w:t>/XV/1.ª</w:t>
      </w:r>
    </w:p>
    <w:p w14:paraId="6B1DBC94" w14:textId="77777777" w:rsidR="00D36D03" w:rsidRDefault="00D36D03">
      <w:pPr>
        <w:numPr>
          <w:ilvl w:val="0"/>
          <w:numId w:val="1"/>
        </w:numPr>
        <w:spacing w:line="360" w:lineRule="auto"/>
        <w:jc w:val="center"/>
        <w:rPr>
          <w:rFonts w:ascii="Calibri" w:eastAsia="Calibri" w:hAnsi="Calibri" w:cs="Calibri"/>
          <w:sz w:val="26"/>
          <w:szCs w:val="26"/>
        </w:rPr>
      </w:pPr>
    </w:p>
    <w:p w14:paraId="6ED85939" w14:textId="77777777" w:rsidR="00D36D03" w:rsidRDefault="00E44E10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  <w:highlight w:val="white"/>
        </w:rPr>
        <w:t>Reforça o direito de parentalidade, alterando o Código de Trabalho e a Lei Geral do Trabalho em Funções Públicas</w:t>
      </w:r>
    </w:p>
    <w:p w14:paraId="7CE3C96D" w14:textId="77777777" w:rsidR="00D36D03" w:rsidRDefault="00D36D0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9B36630" w14:textId="77777777" w:rsidR="00D36D03" w:rsidRDefault="00D36D03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2642891" w14:textId="77777777" w:rsidR="00D36D03" w:rsidRDefault="00E44E10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Exposição de Motivos</w:t>
      </w:r>
    </w:p>
    <w:p w14:paraId="5774F015" w14:textId="77777777" w:rsidR="00D36D03" w:rsidRDefault="00D36D03">
      <w:pPr>
        <w:shd w:val="clear" w:color="auto" w:fill="FFFFFF"/>
        <w:spacing w:after="240" w:line="360" w:lineRule="auto"/>
        <w:jc w:val="both"/>
        <w:rPr>
          <w:rFonts w:ascii="Montserrat" w:eastAsia="Montserrat" w:hAnsi="Montserrat" w:cs="Montserrat"/>
          <w:b/>
          <w:color w:val="666666"/>
        </w:rPr>
      </w:pPr>
    </w:p>
    <w:p w14:paraId="3C2B3251" w14:textId="77777777" w:rsidR="00D36D03" w:rsidRDefault="00E44E10">
      <w:pPr>
        <w:shd w:val="clear" w:color="auto" w:fill="FFFFFF"/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lei portuguesa, o despedimento de trabalhadora grávida, puérpera ou lactante ou de trabalhador no gozo de licença pa</w:t>
      </w:r>
      <w:r>
        <w:rPr>
          <w:rFonts w:ascii="Calibri" w:eastAsia="Calibri" w:hAnsi="Calibri" w:cs="Calibri"/>
          <w:sz w:val="24"/>
          <w:szCs w:val="24"/>
        </w:rPr>
        <w:t>rental carece de parecer prévio da entidade competente na área da igualdade de oportunidades entre homens e mulheres (doravante CITE), com vista a promover a proteção da trabalhadora grávida em caso de despedimento.</w:t>
      </w:r>
    </w:p>
    <w:p w14:paraId="6036325A" w14:textId="77777777" w:rsidR="00D36D03" w:rsidRDefault="00E44E10">
      <w:pPr>
        <w:shd w:val="clear" w:color="auto" w:fill="FFFFFF"/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Caso o referido parecer seja desfavoráve</w:t>
      </w:r>
      <w:r>
        <w:rPr>
          <w:rFonts w:ascii="Calibri" w:eastAsia="Calibri" w:hAnsi="Calibri" w:cs="Calibri"/>
          <w:sz w:val="24"/>
          <w:szCs w:val="24"/>
        </w:rPr>
        <w:t xml:space="preserve">l ao despedimento, o empregador só o pode efectuar o mesmo após decisão judicial que reconheça a existência de motivo justificativo, devendo a acção ser intentada nos 30 dias subsequentes à notificação do parecer. </w:t>
      </w:r>
    </w:p>
    <w:p w14:paraId="1A369A3D" w14:textId="77777777" w:rsidR="00D36D03" w:rsidRDefault="00E44E10">
      <w:pPr>
        <w:shd w:val="clear" w:color="auto" w:fill="FFFFFF"/>
        <w:spacing w:after="240" w:line="360" w:lineRule="auto"/>
        <w:jc w:val="both"/>
        <w:rPr>
          <w:b/>
          <w:color w:val="202020"/>
          <w:sz w:val="21"/>
          <w:szCs w:val="21"/>
        </w:rPr>
      </w:pPr>
      <w:r>
        <w:rPr>
          <w:rFonts w:ascii="Calibri" w:eastAsia="Calibri" w:hAnsi="Calibri" w:cs="Calibri"/>
          <w:sz w:val="24"/>
          <w:szCs w:val="24"/>
        </w:rPr>
        <w:t>No caso concreto dos contratos a termo, a</w:t>
      </w:r>
      <w:r>
        <w:rPr>
          <w:rFonts w:ascii="Calibri" w:eastAsia="Calibri" w:hAnsi="Calibri" w:cs="Calibri"/>
          <w:sz w:val="24"/>
          <w:szCs w:val="24"/>
        </w:rPr>
        <w:t xml:space="preserve"> entidade empregadora deve comunicar à CITE, no prazo de cinco dias úteis a contar da data da denúncia, a denúncia do contrato de trabalho durante o período experimental sempre que estiver em causa uma trabalhadora grávida, puérpera ou lactante ou um traba</w:t>
      </w:r>
      <w:r>
        <w:rPr>
          <w:rFonts w:ascii="Calibri" w:eastAsia="Calibri" w:hAnsi="Calibri" w:cs="Calibri"/>
          <w:sz w:val="24"/>
          <w:szCs w:val="24"/>
        </w:rPr>
        <w:t>lhador no gozo de licença parental, constituindo contraordenação grave a violação deste dever.</w:t>
      </w:r>
      <w:r>
        <w:rPr>
          <w:b/>
          <w:color w:val="202020"/>
          <w:sz w:val="21"/>
          <w:szCs w:val="21"/>
          <w:vertAlign w:val="superscript"/>
        </w:rPr>
        <w:footnoteReference w:id="1"/>
      </w:r>
    </w:p>
    <w:p w14:paraId="3BC7CD15" w14:textId="77777777" w:rsidR="00D36D03" w:rsidRDefault="00E44E10">
      <w:pPr>
        <w:shd w:val="clear" w:color="auto" w:fill="FFFFFF"/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Acontece, porém, que a emissão do parecer por parte da CITE é um poder e não um dever, sendo que se considera que a não emissão do respectivo parecer nos 30 di</w:t>
      </w:r>
      <w:r>
        <w:rPr>
          <w:rFonts w:ascii="Calibri" w:eastAsia="Calibri" w:hAnsi="Calibri" w:cs="Calibri"/>
          <w:sz w:val="24"/>
          <w:szCs w:val="24"/>
        </w:rPr>
        <w:t>as subsequentes à recepção do processo, resulta, na prática de um indeferimento tácito, ou, seja, em sentido favorável ao despedimento.</w:t>
      </w:r>
    </w:p>
    <w:p w14:paraId="7B137DEF" w14:textId="77777777" w:rsidR="00D36D03" w:rsidRDefault="00E44E10">
      <w:pPr>
        <w:shd w:val="clear" w:color="auto" w:fill="FFFFFF"/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No entendimento do PAN, este deferimento tácito não é compatível com uma eficiente garantia e defesa dos direitos da tra</w:t>
      </w:r>
      <w:r>
        <w:rPr>
          <w:rFonts w:ascii="Calibri" w:eastAsia="Calibri" w:hAnsi="Calibri" w:cs="Calibri"/>
          <w:sz w:val="24"/>
          <w:szCs w:val="24"/>
        </w:rPr>
        <w:t>balhadora grávida, puérpera ou lactante. É necessário que se garanta que a CITE analisa o processo, de forma a que o despedimento da trabalhadora não se deve, sem qualquer dúvida, ao facto de estar grávida ou ser puérpera ou lactante.</w:t>
      </w:r>
    </w:p>
    <w:p w14:paraId="35D33BD3" w14:textId="77777777" w:rsidR="00D36D03" w:rsidRDefault="00E44E10">
      <w:pPr>
        <w:shd w:val="clear" w:color="auto" w:fill="FFFFFF"/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tal, com a presen</w:t>
      </w:r>
      <w:r>
        <w:rPr>
          <w:rFonts w:ascii="Calibri" w:eastAsia="Calibri" w:hAnsi="Calibri" w:cs="Calibri"/>
          <w:sz w:val="24"/>
          <w:szCs w:val="24"/>
        </w:rPr>
        <w:t>te iniciativa, o PAN propõe que a emissão do parecer pela CITE, em caso de despedimento e oposição à renovação seja obrigatório e dele dependa, necessariamente, a licitude ou ilicitude do despedimento.</w:t>
      </w:r>
    </w:p>
    <w:p w14:paraId="03AAED31" w14:textId="77777777" w:rsidR="00D36D03" w:rsidRDefault="00E44E10">
      <w:pPr>
        <w:shd w:val="clear" w:color="auto" w:fill="FFFFFF"/>
        <w:spacing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Demonstrativo que é importante a garantia dos direitos</w:t>
      </w:r>
      <w:r>
        <w:rPr>
          <w:rFonts w:ascii="Calibri" w:eastAsia="Calibri" w:hAnsi="Calibri" w:cs="Calibri"/>
          <w:sz w:val="24"/>
          <w:szCs w:val="24"/>
        </w:rPr>
        <w:t xml:space="preserve"> da trabalhadora grávida, puérpera ou lactante é também o mecanismo legal da Lei n.º 133/2015, de 07 de Setembro, segundo o qual as empresas que nos 2 anos anteriores à candidatura a subsídios ou subvenções públicos tenham sido condenadas por sentença tran</w:t>
      </w:r>
      <w:r>
        <w:rPr>
          <w:rFonts w:ascii="Calibri" w:eastAsia="Calibri" w:hAnsi="Calibri" w:cs="Calibri"/>
          <w:sz w:val="24"/>
          <w:szCs w:val="24"/>
        </w:rPr>
        <w:t>sitada em julgado por despedimento ilegal de grávidas, puérperas ou lactantes ficam impedidas de serem beneficiárias dos mesmos, sendo obrigação dos tribunais a comunicação diária à CITE as sentenças transitadas em julgado que tenham condenado empresas por</w:t>
      </w:r>
      <w:r>
        <w:rPr>
          <w:rFonts w:ascii="Calibri" w:eastAsia="Calibri" w:hAnsi="Calibri" w:cs="Calibri"/>
          <w:sz w:val="24"/>
          <w:szCs w:val="24"/>
        </w:rPr>
        <w:t xml:space="preserve"> despedimento ilegal de grávidas, puérperas ou lactantes.</w:t>
      </w:r>
    </w:p>
    <w:p w14:paraId="4F5A149E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Finalmente, procurando que a igualdade dos direitos parentais comece logo no período da gravidez, propõe-se que os direitos de dispensa aplicáveis a trabalhadora grávida sejam extensíveis, quer ao futuro pai, quer à futura mãe (nos casos de procriação medi</w:t>
      </w:r>
      <w:r>
        <w:rPr>
          <w:rFonts w:ascii="Calibri" w:eastAsia="Calibri" w:hAnsi="Calibri" w:cs="Calibri"/>
          <w:sz w:val="24"/>
          <w:szCs w:val="24"/>
        </w:rPr>
        <w:t>camente assistida), sem qualquer perda de direitos (nomeadamente em termos remuneratório).</w:t>
      </w:r>
    </w:p>
    <w:p w14:paraId="4DD5C47E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E00079" w14:textId="77777777" w:rsidR="00D36D03" w:rsidRDefault="00E44E10">
      <w:pPr>
        <w:spacing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Pelo exposto, e ao abrigo das disposições constitucionais e regimentais aplicáveis, a abaixo assinada Deputada Única do PESSOAS-ANIMAIS-NATUREZA, apresenta o seguinte Projeto de Lei:</w:t>
      </w:r>
    </w:p>
    <w:p w14:paraId="587EEE9C" w14:textId="77777777" w:rsidR="00D36D03" w:rsidRDefault="00D36D0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94A98C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390F4B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0C62E6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83AE34D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1.º</w:t>
      </w:r>
    </w:p>
    <w:p w14:paraId="362EE155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Objeto</w:t>
      </w:r>
    </w:p>
    <w:p w14:paraId="3F8743FC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 presente lei aprova medidas de proteção em caso d</w:t>
      </w:r>
      <w:r>
        <w:rPr>
          <w:rFonts w:ascii="Calibri" w:eastAsia="Calibri" w:hAnsi="Calibri" w:cs="Calibri"/>
          <w:sz w:val="24"/>
          <w:szCs w:val="24"/>
        </w:rPr>
        <w:t xml:space="preserve">e despedimento de trabalhadora grávida e promove a igualdade na parentalidade, procedendo para o efeito à alteração ao Código do Trabalho, aprovado pela Lei n.º 7/2009, de 12 de fevereiro e à </w:t>
      </w:r>
      <w:r>
        <w:rPr>
          <w:rFonts w:ascii="Calibri" w:eastAsia="Calibri" w:hAnsi="Calibri" w:cs="Calibri"/>
          <w:sz w:val="24"/>
          <w:szCs w:val="24"/>
          <w:highlight w:val="white"/>
        </w:rPr>
        <w:t>Lei Geral do Trabalho em Funções Públicas (LGTFP), aprovada pela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Lei n.º 35/2014.</w:t>
      </w:r>
    </w:p>
    <w:p w14:paraId="4347E6AD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869434E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2.º</w:t>
      </w:r>
    </w:p>
    <w:p w14:paraId="3947D39D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Alteração ao Código do Trabalho</w:t>
      </w:r>
    </w:p>
    <w:p w14:paraId="138E046E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artigos 46.º, 63.º, 114.º e 144.º do Código do Trabalho, aprovado pela Lei n.º 7/2009, de 12 de fevereiro, na sua atual redação, passam a ter a seguinte redação:</w:t>
      </w:r>
    </w:p>
    <w:p w14:paraId="4A4CB3FF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BA214C6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403F9A7" w14:textId="77777777" w:rsidR="00D36D03" w:rsidRDefault="00E44E10">
      <w:pPr>
        <w:spacing w:line="427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“Artigo 46.º</w:t>
      </w:r>
    </w:p>
    <w:p w14:paraId="778D29BF" w14:textId="77777777" w:rsidR="00D36D03" w:rsidRDefault="00E44E10">
      <w:pPr>
        <w:spacing w:line="427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</w:p>
    <w:p w14:paraId="7D87796C" w14:textId="77777777" w:rsidR="00D36D03" w:rsidRDefault="00E44E10">
      <w:pPr>
        <w:spacing w:line="427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1 - [...].</w:t>
      </w:r>
    </w:p>
    <w:p w14:paraId="514A19F2" w14:textId="77777777" w:rsidR="00D36D03" w:rsidRDefault="00E44E10">
      <w:pPr>
        <w:spacing w:line="427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2 - [...].</w:t>
      </w:r>
    </w:p>
    <w:p w14:paraId="22D2408B" w14:textId="77777777" w:rsidR="00D36D03" w:rsidRDefault="00E44E10">
      <w:pPr>
        <w:spacing w:line="427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3 - [...].</w:t>
      </w:r>
    </w:p>
    <w:p w14:paraId="7702CFFC" w14:textId="77777777" w:rsidR="00D36D03" w:rsidRDefault="00E44E10">
      <w:pPr>
        <w:spacing w:line="427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4 - [...].</w:t>
      </w:r>
    </w:p>
    <w:p w14:paraId="41F1FF4B" w14:textId="77777777" w:rsidR="00D36D03" w:rsidRDefault="00E44E10">
      <w:pPr>
        <w:spacing w:line="427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5 - Por forma a assegurar o acompanhamento de grávida, os direitos de dispensa previstos nos números anteriores são extensíveis ao trabalhador que seja pai ou à trabalhadora que seja mãe.</w:t>
      </w:r>
    </w:p>
    <w:p w14:paraId="7BDBA6C0" w14:textId="77777777" w:rsidR="00D36D03" w:rsidRDefault="00E44E10">
      <w:pPr>
        <w:spacing w:line="427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6 - [...].</w:t>
      </w:r>
    </w:p>
    <w:p w14:paraId="34991108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F2F2E5B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1239B8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Artigo 63.º</w:t>
      </w:r>
    </w:p>
    <w:p w14:paraId="563D079B" w14:textId="77777777" w:rsidR="00D36D03" w:rsidRDefault="00E44E10">
      <w:pPr>
        <w:spacing w:line="427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</w:p>
    <w:p w14:paraId="7E59B540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28B4DF6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1 -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53ABDFE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2 -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9979B20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3 -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827235E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2084BA06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EE128BC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c)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3EE482BF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d)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78BA0B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4 - A entidade competente comunica o parecer referido no n.º 1 ao empregador e ao trabalhador, nos 30 dias subsequentes à recepção do processo.</w:t>
      </w:r>
    </w:p>
    <w:p w14:paraId="35861DF9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5 -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538BB76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6 -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C7C8E30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7 -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16785B3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8 -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B81220F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CC221E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9 - </w:t>
      </w: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4046102" w14:textId="77777777" w:rsidR="00D36D03" w:rsidRDefault="00D36D03">
      <w:pPr>
        <w:spacing w:line="427" w:lineRule="auto"/>
        <w:jc w:val="both"/>
        <w:rPr>
          <w:rFonts w:ascii="Trebuchet MS" w:eastAsia="Trebuchet MS" w:hAnsi="Trebuchet MS" w:cs="Trebuchet MS"/>
          <w:color w:val="CC221E"/>
          <w:sz w:val="16"/>
          <w:szCs w:val="16"/>
        </w:rPr>
      </w:pPr>
    </w:p>
    <w:p w14:paraId="070A4F1D" w14:textId="77777777" w:rsidR="00D36D03" w:rsidRDefault="00D36D03">
      <w:pPr>
        <w:spacing w:line="427" w:lineRule="auto"/>
        <w:jc w:val="both"/>
        <w:rPr>
          <w:rFonts w:ascii="Trebuchet MS" w:eastAsia="Trebuchet MS" w:hAnsi="Trebuchet MS" w:cs="Trebuchet MS"/>
          <w:color w:val="CC221E"/>
          <w:sz w:val="16"/>
          <w:szCs w:val="16"/>
        </w:rPr>
      </w:pPr>
    </w:p>
    <w:p w14:paraId="3189C6A8" w14:textId="77777777" w:rsidR="00D36D03" w:rsidRDefault="00D36D03">
      <w:pPr>
        <w:spacing w:line="427" w:lineRule="auto"/>
        <w:jc w:val="both"/>
        <w:rPr>
          <w:rFonts w:ascii="Trebuchet MS" w:eastAsia="Trebuchet MS" w:hAnsi="Trebuchet MS" w:cs="Trebuchet MS"/>
          <w:color w:val="CC221E"/>
          <w:sz w:val="16"/>
          <w:szCs w:val="16"/>
        </w:rPr>
      </w:pPr>
    </w:p>
    <w:p w14:paraId="0D96DA93" w14:textId="77777777" w:rsidR="00D36D03" w:rsidRDefault="00E44E10">
      <w:pPr>
        <w:spacing w:line="427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Artigo 114.º</w:t>
      </w:r>
    </w:p>
    <w:p w14:paraId="6F4BEE13" w14:textId="77777777" w:rsidR="00D36D03" w:rsidRDefault="00E44E10">
      <w:pPr>
        <w:spacing w:line="427" w:lineRule="auto"/>
        <w:jc w:val="center"/>
        <w:rPr>
          <w:rFonts w:ascii="Trebuchet MS" w:eastAsia="Trebuchet MS" w:hAnsi="Trebuchet MS" w:cs="Trebuchet MS"/>
          <w:color w:val="CC221E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</w:p>
    <w:p w14:paraId="4EF94357" w14:textId="77777777" w:rsidR="00D36D03" w:rsidRDefault="00E44E10">
      <w:pPr>
        <w:shd w:val="clear" w:color="auto" w:fill="FFFFFF"/>
        <w:spacing w:before="300" w:after="30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1 - [...].</w:t>
      </w:r>
    </w:p>
    <w:p w14:paraId="4B9944EF" w14:textId="77777777" w:rsidR="00D36D03" w:rsidRDefault="00E44E10">
      <w:pPr>
        <w:shd w:val="clear" w:color="auto" w:fill="FFFFFF"/>
        <w:spacing w:before="300" w:after="30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2 - [...].</w:t>
      </w:r>
    </w:p>
    <w:p w14:paraId="51F666FB" w14:textId="77777777" w:rsidR="00D36D03" w:rsidRDefault="00E44E10">
      <w:pPr>
        <w:shd w:val="clear" w:color="auto" w:fill="FFFFFF"/>
        <w:spacing w:before="300" w:after="30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3 -  [...].</w:t>
      </w:r>
    </w:p>
    <w:p w14:paraId="74D98312" w14:textId="77777777" w:rsidR="00D36D03" w:rsidRDefault="00E44E10">
      <w:pPr>
        <w:shd w:val="clear" w:color="auto" w:fill="FFFFFF"/>
        <w:spacing w:before="300" w:after="30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4 -  [...].</w:t>
      </w:r>
    </w:p>
    <w:p w14:paraId="57864C36" w14:textId="77777777" w:rsidR="00D36D03" w:rsidRDefault="00E44E10">
      <w:pPr>
        <w:shd w:val="clear" w:color="auto" w:fill="FFFFFF"/>
        <w:spacing w:before="300" w:after="30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5 - O empregador deve remeter comunicação com uma exposição fundamentada, no prazo de cinco dias úteis a contar da data da denúncia, à entidade com competência na área da igualdade de oportunidades entre homens e mulheres a denúncia do contrato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de trabalho durante o período experimental sempre que estiver em causa uma trabalhadora grávida, puérpera ou lactante ou um trabalhador no gozo de licença parental.</w:t>
      </w:r>
    </w:p>
    <w:p w14:paraId="5626AB6D" w14:textId="77777777" w:rsidR="00D36D03" w:rsidRDefault="00E44E10">
      <w:pPr>
        <w:shd w:val="clear" w:color="auto" w:fill="FFFFFF"/>
        <w:spacing w:before="300" w:after="30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6 - Para os efeitos do número anterior, a entidade competente deve remeter parecer ao empr</w:t>
      </w:r>
      <w:r>
        <w:rPr>
          <w:rFonts w:ascii="Calibri" w:eastAsia="Calibri" w:hAnsi="Calibri" w:cs="Calibri"/>
          <w:sz w:val="24"/>
          <w:szCs w:val="24"/>
          <w:highlight w:val="white"/>
        </w:rPr>
        <w:t>egador e ao trabalhador, nos 30 dias subsequentes à recepção do processo, considerando-se em sentido favorável ao despedimento quando não for emitido dentro do referido prazo.</w:t>
      </w:r>
    </w:p>
    <w:p w14:paraId="248B5F73" w14:textId="77777777" w:rsidR="00D36D03" w:rsidRDefault="00E44E10">
      <w:pPr>
        <w:shd w:val="clear" w:color="auto" w:fill="FFFFFF"/>
        <w:spacing w:before="300" w:after="300" w:line="36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7 - (anterior n.º 6).</w:t>
      </w:r>
    </w:p>
    <w:p w14:paraId="11D97301" w14:textId="77777777" w:rsidR="00D36D03" w:rsidRDefault="00E44E10">
      <w:pPr>
        <w:shd w:val="clear" w:color="auto" w:fill="FFFFFF"/>
        <w:spacing w:before="300" w:after="300" w:line="427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Artigo 144.º</w:t>
      </w:r>
    </w:p>
    <w:p w14:paraId="5E1DB7FE" w14:textId="77777777" w:rsidR="00D36D03" w:rsidRDefault="00E44E10">
      <w:pPr>
        <w:spacing w:line="427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</w:p>
    <w:p w14:paraId="352861D1" w14:textId="77777777" w:rsidR="00D36D03" w:rsidRDefault="00E44E10">
      <w:pPr>
        <w:shd w:val="clear" w:color="auto" w:fill="FFFFFF"/>
        <w:spacing w:before="300" w:after="300" w:line="427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1 - [...].</w:t>
      </w:r>
    </w:p>
    <w:p w14:paraId="693D60E5" w14:textId="77777777" w:rsidR="00D36D03" w:rsidRDefault="00E44E10">
      <w:pPr>
        <w:shd w:val="clear" w:color="auto" w:fill="FFFFFF"/>
        <w:spacing w:before="300" w:after="300" w:line="427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2 - [...].</w:t>
      </w:r>
    </w:p>
    <w:p w14:paraId="72BB2674" w14:textId="77777777" w:rsidR="00D36D03" w:rsidRDefault="00E44E10">
      <w:pPr>
        <w:shd w:val="clear" w:color="auto" w:fill="FFFFFF"/>
        <w:spacing w:before="300" w:after="300" w:line="427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3 - O empregador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deve comunicar, com exposição fundamentada, à entidade com competência na área da igualdade de oportunidades entre homens e mulheres, com a antecedência mínima de cinco dias úteis à data do aviso prévio, o motivo da não renovação de contrato de trabalho a </w:t>
      </w:r>
      <w:r>
        <w:rPr>
          <w:rFonts w:ascii="Calibri" w:eastAsia="Calibri" w:hAnsi="Calibri" w:cs="Calibri"/>
          <w:sz w:val="24"/>
          <w:szCs w:val="24"/>
          <w:highlight w:val="white"/>
        </w:rPr>
        <w:t>termo sempre que estiver em causa uma trabalhadora grávida, puérpera ou lactante ou um trabalhador no gozo de licença parental.</w:t>
      </w:r>
    </w:p>
    <w:p w14:paraId="10BF143F" w14:textId="77777777" w:rsidR="00D36D03" w:rsidRDefault="00E44E10">
      <w:pPr>
        <w:shd w:val="clear" w:color="auto" w:fill="FFFFFF"/>
        <w:spacing w:before="300" w:after="300" w:line="427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4 - </w:t>
      </w:r>
      <w:r>
        <w:rPr>
          <w:rFonts w:ascii="Calibri" w:eastAsia="Calibri" w:hAnsi="Calibri" w:cs="Calibri"/>
          <w:sz w:val="24"/>
          <w:szCs w:val="24"/>
        </w:rPr>
        <w:t xml:space="preserve"> Para efeitos do número anterior, aplica-se o disposto nos n.ºs 4 a 6 do artigo 63.º.</w:t>
      </w:r>
    </w:p>
    <w:p w14:paraId="0D788224" w14:textId="77777777" w:rsidR="00D36D03" w:rsidRDefault="00E44E10">
      <w:pPr>
        <w:shd w:val="clear" w:color="auto" w:fill="FFFFFF"/>
        <w:spacing w:before="300" w:after="300" w:line="427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5 - (anterior n.º4).</w:t>
      </w:r>
    </w:p>
    <w:p w14:paraId="63255CF8" w14:textId="77777777" w:rsidR="00D36D03" w:rsidRDefault="00E44E10">
      <w:pPr>
        <w:shd w:val="clear" w:color="auto" w:fill="FFFFFF"/>
        <w:spacing w:before="300" w:after="300" w:line="427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6 - Constitui con</w:t>
      </w:r>
      <w:r>
        <w:rPr>
          <w:rFonts w:ascii="Calibri" w:eastAsia="Calibri" w:hAnsi="Calibri" w:cs="Calibri"/>
          <w:sz w:val="24"/>
          <w:szCs w:val="24"/>
          <w:highlight w:val="white"/>
        </w:rPr>
        <w:t>traordenação leve a violação do disposto nos n.ºs 1, 2 e 5 e contraordenação grave a violação do disposto no n.º 3.”</w:t>
      </w:r>
    </w:p>
    <w:p w14:paraId="2B6C7148" w14:textId="77777777" w:rsidR="00D36D03" w:rsidRDefault="00E44E10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360" w:lineRule="auto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bookmarkStart w:id="1" w:name="_gqe3gzi968dh" w:colFirst="0" w:colLast="0"/>
      <w:bookmarkEnd w:id="1"/>
      <w:r>
        <w:rPr>
          <w:rFonts w:ascii="Calibri" w:eastAsia="Calibri" w:hAnsi="Calibri" w:cs="Calibri"/>
          <w:b/>
          <w:sz w:val="24"/>
          <w:szCs w:val="24"/>
          <w:highlight w:val="white"/>
        </w:rPr>
        <w:t>Artigo 3.º</w:t>
      </w:r>
    </w:p>
    <w:p w14:paraId="7A42B32A" w14:textId="77777777" w:rsidR="00D36D03" w:rsidRDefault="00E44E10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Alteração à Lei Geral do Trabalho em Funções Públicas </w:t>
      </w:r>
    </w:p>
    <w:p w14:paraId="6BE0548E" w14:textId="77777777" w:rsidR="00D36D03" w:rsidRDefault="00D36D03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1818C6FF" w14:textId="77777777" w:rsidR="00D36D03" w:rsidRDefault="00E44E10">
      <w:pPr>
        <w:pStyle w:val="Ttulo1"/>
        <w:keepNext w:val="0"/>
        <w:keepLines w:val="0"/>
        <w:shd w:val="clear" w:color="auto" w:fill="FFFFFF"/>
        <w:spacing w:before="0" w:after="0" w:line="360" w:lineRule="auto"/>
        <w:rPr>
          <w:rFonts w:ascii="Roboto" w:eastAsia="Roboto" w:hAnsi="Roboto" w:cs="Roboto"/>
          <w:b/>
          <w:color w:val="272B30"/>
          <w:sz w:val="20"/>
          <w:szCs w:val="20"/>
        </w:rPr>
      </w:pPr>
      <w:bookmarkStart w:id="2" w:name="_1u26frq8sews" w:colFirst="0" w:colLast="0"/>
      <w:bookmarkEnd w:id="2"/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O artigo 64.º da Lei Geral do Trabalho em Funções Públicas (LGTFP), aprovada pela Lei n.º 35/2014, passa a ter a seguinte redação:</w:t>
      </w:r>
    </w:p>
    <w:p w14:paraId="0996DE69" w14:textId="77777777" w:rsidR="00D36D03" w:rsidRDefault="00E44E10">
      <w:pPr>
        <w:shd w:val="clear" w:color="auto" w:fill="FFFFFF"/>
        <w:spacing w:before="300" w:after="30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“Artigo 64.º</w:t>
      </w:r>
    </w:p>
    <w:p w14:paraId="7BDF1757" w14:textId="77777777" w:rsidR="00D36D03" w:rsidRDefault="00E44E10">
      <w:pPr>
        <w:spacing w:line="427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[...]</w:t>
      </w:r>
    </w:p>
    <w:p w14:paraId="388F6376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1 - [...].</w:t>
      </w:r>
    </w:p>
    <w:p w14:paraId="6FE76D45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2 - O empregador público deve comunicar, no prazo máximo de cinco dias úteis, à entidade que te</w:t>
      </w:r>
      <w:r>
        <w:rPr>
          <w:rFonts w:ascii="Calibri" w:eastAsia="Calibri" w:hAnsi="Calibri" w:cs="Calibri"/>
          <w:sz w:val="24"/>
          <w:szCs w:val="24"/>
          <w:highlight w:val="white"/>
        </w:rPr>
        <w:t>nha competência na área da igualdade de oportunidades entre homens e mulheres o motivo da não renovação de contrato a termo, sempre que estiver em causa uma trabalhadora grávida, puérpera ou lactante.</w:t>
      </w:r>
    </w:p>
    <w:p w14:paraId="1C57F43E" w14:textId="77777777" w:rsidR="00D36D03" w:rsidRDefault="00E44E10">
      <w:pPr>
        <w:shd w:val="clear" w:color="auto" w:fill="FFFFFF"/>
        <w:spacing w:before="80" w:after="8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3 - </w:t>
      </w:r>
      <w:r>
        <w:rPr>
          <w:rFonts w:ascii="Calibri" w:eastAsia="Calibri" w:hAnsi="Calibri" w:cs="Calibri"/>
          <w:sz w:val="24"/>
          <w:szCs w:val="24"/>
        </w:rPr>
        <w:t>Para efeitos do número anterior, aplica-se o dispos</w:t>
      </w:r>
      <w:r>
        <w:rPr>
          <w:rFonts w:ascii="Calibri" w:eastAsia="Calibri" w:hAnsi="Calibri" w:cs="Calibri"/>
          <w:sz w:val="24"/>
          <w:szCs w:val="24"/>
        </w:rPr>
        <w:t>to nos n.ºs 4 a 6 do artigo 63.º do Código do Trabalho.</w:t>
      </w:r>
    </w:p>
    <w:p w14:paraId="7541B1E2" w14:textId="77777777" w:rsidR="00D36D03" w:rsidRDefault="00E44E10">
      <w:pPr>
        <w:shd w:val="clear" w:color="auto" w:fill="FFFFFF"/>
        <w:spacing w:before="80" w:after="8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4 - (anterior número 3).”</w:t>
      </w:r>
    </w:p>
    <w:p w14:paraId="74521040" w14:textId="77777777" w:rsidR="00D36D03" w:rsidRDefault="00D36D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B466FD9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Artigo 4.º</w:t>
      </w:r>
    </w:p>
    <w:p w14:paraId="283D9068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Entrada em vigor</w:t>
      </w:r>
    </w:p>
    <w:p w14:paraId="5CD99E93" w14:textId="77777777" w:rsidR="00D36D03" w:rsidRDefault="00E44E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A presente lei entra em vigor no dia seguinte ao da sua publicação.</w:t>
      </w:r>
    </w:p>
    <w:p w14:paraId="23A56178" w14:textId="77777777" w:rsidR="00D36D03" w:rsidRDefault="00D36D0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A98F9EF" w14:textId="77777777" w:rsidR="00D36D03" w:rsidRDefault="00D36D0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9B90848" w14:textId="77777777" w:rsidR="00D36D03" w:rsidRDefault="00E44E1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Assembleia da República, Palácio de São Bento, 16 de dezembro de 2022</w:t>
      </w:r>
    </w:p>
    <w:p w14:paraId="4A7FB6C7" w14:textId="77777777" w:rsidR="00D36D03" w:rsidRDefault="00D36D0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093DD9E" w14:textId="77777777" w:rsidR="00D36D03" w:rsidRDefault="00E44E1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Deputada,</w:t>
      </w:r>
    </w:p>
    <w:p w14:paraId="63A9AA66" w14:textId="77777777" w:rsidR="00D36D03" w:rsidRDefault="00D36D0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EFAE723" w14:textId="77777777" w:rsidR="00D36D03" w:rsidRDefault="00E44E10">
      <w:pPr>
        <w:spacing w:line="360" w:lineRule="auto"/>
        <w:jc w:val="center"/>
        <w:rPr>
          <w:rFonts w:ascii="Times New Roman" w:eastAsia="Times New Roman" w:hAnsi="Times New Roman" w:cs="Times New Roman"/>
          <w:color w:val="272B3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Inês de Sousa Real</w:t>
      </w:r>
    </w:p>
    <w:sectPr w:rsidR="00D36D0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29F6" w14:textId="77777777" w:rsidR="00000000" w:rsidRDefault="00E44E10">
      <w:pPr>
        <w:spacing w:line="240" w:lineRule="auto"/>
      </w:pPr>
      <w:r>
        <w:separator/>
      </w:r>
    </w:p>
  </w:endnote>
  <w:endnote w:type="continuationSeparator" w:id="0">
    <w:p w14:paraId="266B0A75" w14:textId="77777777" w:rsidR="00000000" w:rsidRDefault="00E44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32FB" w14:textId="77777777" w:rsidR="00000000" w:rsidRDefault="00E44E10">
      <w:pPr>
        <w:spacing w:line="240" w:lineRule="auto"/>
      </w:pPr>
      <w:r>
        <w:separator/>
      </w:r>
    </w:p>
  </w:footnote>
  <w:footnote w:type="continuationSeparator" w:id="0">
    <w:p w14:paraId="1B97023C" w14:textId="77777777" w:rsidR="00000000" w:rsidRDefault="00E44E10">
      <w:pPr>
        <w:spacing w:line="240" w:lineRule="auto"/>
      </w:pPr>
      <w:r>
        <w:continuationSeparator/>
      </w:r>
    </w:p>
  </w:footnote>
  <w:footnote w:id="1">
    <w:p w14:paraId="74E76B6D" w14:textId="77777777" w:rsidR="00D36D03" w:rsidRDefault="00E44E1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Direitos e Deveres das entidades empregadoras - CITE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9D1" w14:textId="77777777" w:rsidR="00D36D03" w:rsidRDefault="00E44E10">
    <w:pPr>
      <w:spacing w:line="240" w:lineRule="auto"/>
      <w:jc w:val="cen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7FADD8C2" wp14:editId="4B61758C">
          <wp:extent cx="1452925" cy="868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92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0626B"/>
    <w:multiLevelType w:val="multilevel"/>
    <w:tmpl w:val="F9CA4A5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262626"/>
        <w:sz w:val="21"/>
        <w:szCs w:val="21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Roboto" w:eastAsia="Roboto" w:hAnsi="Roboto" w:cs="Roboto"/>
        <w:color w:val="262626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03"/>
    <w:rsid w:val="00D36D03"/>
    <w:rsid w:val="00E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9AFA"/>
  <w15:docId w15:val="{2CE13B41-B3C7-4F85-86C6-00AAF795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te.gov.pt/direitos-e-deveres-das-entidades-empregado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2022-12-16T00:00:00+00:00</DataDocumento>
    <NomeOriginalFicheiro xmlns="http://schemas.microsoft.com/sharepoint/v3">pjl433-XV.docx</NomeOriginalFicheiro>
    <IDFase xmlns="http://schemas.microsoft.com/sharepoint/v3">0</IDFase>
    <NRIniciativa xmlns="http://schemas.microsoft.com/sharepoint/v3">433</NRIniciativa>
    <IDIniciativa xmlns="http://schemas.microsoft.com/sharepoint/v3">152186</IDIniciativa>
  </documentManagement>
</p:properties>
</file>

<file path=customXml/itemProps1.xml><?xml version="1.0" encoding="utf-8"?>
<ds:datastoreItem xmlns:ds="http://schemas.openxmlformats.org/officeDocument/2006/customXml" ds:itemID="{5AD0B187-DBBC-42CE-98C7-AE26F55D4944}"/>
</file>

<file path=customXml/itemProps2.xml><?xml version="1.0" encoding="utf-8"?>
<ds:datastoreItem xmlns:ds="http://schemas.openxmlformats.org/officeDocument/2006/customXml" ds:itemID="{4842ACC2-C26E-49C3-A596-ED5D1EF3E375}"/>
</file>

<file path=customXml/itemProps3.xml><?xml version="1.0" encoding="utf-8"?>
<ds:datastoreItem xmlns:ds="http://schemas.openxmlformats.org/officeDocument/2006/customXml" ds:itemID="{23907D5C-7C00-4CAD-B666-363DD5146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5578</Characters>
  <Application>Microsoft Office Word</Application>
  <DocSecurity>4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Beatriz Zoccoli</dc:creator>
  <cp:lastModifiedBy>Beatriz Zoccoli</cp:lastModifiedBy>
  <cp:revision>2</cp:revision>
  <dcterms:created xsi:type="dcterms:W3CDTF">2022-12-16T18:54:00Z</dcterms:created>
  <dcterms:modified xsi:type="dcterms:W3CDTF">2022-12-16T18:54:00Z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255300</vt:r8>
  </property>
</Properties>
</file>