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F96D" w14:textId="77777777" w:rsidR="00BF1158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  <w:r>
        <w:rPr>
          <w:rFonts w:ascii="Arial" w:hAnsi="Arial" w:cs="Arial"/>
          <w:noProof/>
          <w:color w:val="323E4F" w:themeColor="tex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F4D8C" wp14:editId="39EECE4C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867275" cy="8096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FA8A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</w:pPr>
                            <w:r w:rsidRPr="0091704B">
                              <w:rPr>
                                <w:rFonts w:ascii="Arial" w:hAnsi="Arial" w:cs="Arial"/>
                                <w:b/>
                                <w:color w:val="323E4F"/>
                                <w:sz w:val="20"/>
                                <w:szCs w:val="20"/>
                              </w:rPr>
                              <w:t>NOTA DE ADMISSIBILIDADE</w:t>
                            </w:r>
                          </w:p>
                          <w:p w14:paraId="577C5EB1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/>
                                <w:sz w:val="12"/>
                                <w:szCs w:val="12"/>
                              </w:rPr>
                            </w:pPr>
                          </w:p>
                          <w:p w14:paraId="59498EFB" w14:textId="77777777" w:rsidR="0091704B" w:rsidRDefault="0089376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[</w:t>
                            </w:r>
                            <w:r w:rsidR="0091704B" w:rsidRPr="0091704B"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>Para efeitos de despacho do Senhor Presidente da Assembleia da República, nos termos do disposto na alínea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979">
                              <w:rPr>
                                <w:rFonts w:ascii="Arial" w:hAnsi="Arial" w:cs="Arial"/>
                                <w:i/>
                                <w:iCs/>
                                <w:color w:val="323E4F"/>
                                <w:sz w:val="20"/>
                                <w:szCs w:val="20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  <w:t xml:space="preserve"> do n.º 1 do artigo 16.º do Regimento]</w:t>
                            </w:r>
                          </w:p>
                          <w:p w14:paraId="75FF157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5E8423D" w14:textId="77777777" w:rsid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4A41F24E" w14:textId="77777777" w:rsidR="0091704B" w:rsidRPr="0091704B" w:rsidRDefault="0091704B" w:rsidP="0091704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323E4F"/>
                                <w:sz w:val="20"/>
                                <w:szCs w:val="20"/>
                              </w:rPr>
                            </w:pPr>
                          </w:p>
                          <w:p w14:paraId="5EF97380" w14:textId="77777777" w:rsidR="0091704B" w:rsidRDefault="009170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F4D8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pt;width:383.2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" fillcolor="#d8d8d8 [2732]" strokeweight="1pt">
                <v:textbox>
                  <w:txbxContent>
                    <w:p w14:paraId="3C34FA8A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</w:pPr>
                      <w:r w:rsidRPr="0091704B">
                        <w:rPr>
                          <w:rFonts w:ascii="Arial" w:hAnsi="Arial" w:cs="Arial"/>
                          <w:b/>
                          <w:color w:val="323E4F"/>
                          <w:sz w:val="20"/>
                          <w:szCs w:val="20"/>
                        </w:rPr>
                        <w:t>NOTA DE ADMISSIBILIDADE</w:t>
                      </w:r>
                    </w:p>
                    <w:p w14:paraId="577C5EB1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23E4F"/>
                          <w:sz w:val="12"/>
                          <w:szCs w:val="12"/>
                        </w:rPr>
                      </w:pPr>
                    </w:p>
                    <w:p w14:paraId="59498EFB" w14:textId="77777777" w:rsidR="0091704B" w:rsidRDefault="0089376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[</w:t>
                      </w:r>
                      <w:r w:rsidR="0091704B" w:rsidRPr="0091704B"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>Para efeitos de despacho do Senhor Presidente da Assembleia da República, nos termos do disposto na alínea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</w:t>
                      </w:r>
                      <w:r w:rsidRPr="00016979">
                        <w:rPr>
                          <w:rFonts w:ascii="Arial" w:hAnsi="Arial" w:cs="Arial"/>
                          <w:i/>
                          <w:iCs/>
                          <w:color w:val="323E4F"/>
                          <w:sz w:val="20"/>
                          <w:szCs w:val="20"/>
                        </w:rPr>
                        <w:t>c)</w:t>
                      </w:r>
                      <w:r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  <w:t xml:space="preserve"> do n.º 1 do artigo 16.º do Regimento]</w:t>
                      </w:r>
                    </w:p>
                    <w:p w14:paraId="75FF157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5E8423D" w14:textId="77777777" w:rsid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4A41F24E" w14:textId="77777777" w:rsidR="0091704B" w:rsidRPr="0091704B" w:rsidRDefault="0091704B" w:rsidP="0091704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323E4F"/>
                          <w:sz w:val="20"/>
                          <w:szCs w:val="20"/>
                        </w:rPr>
                      </w:pPr>
                    </w:p>
                    <w:p w14:paraId="5EF97380" w14:textId="77777777" w:rsidR="0091704B" w:rsidRDefault="0091704B"/>
                  </w:txbxContent>
                </v:textbox>
                <w10:wrap anchorx="page"/>
              </v:shape>
            </w:pict>
          </mc:Fallback>
        </mc:AlternateContent>
      </w:r>
    </w:p>
    <w:p w14:paraId="069FAE7B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6F55D0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7DFEC628" w14:textId="77777777" w:rsidR="0091704B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p w14:paraId="3204ECF6" w14:textId="77777777" w:rsidR="0091704B" w:rsidRPr="00094D16" w:rsidRDefault="0091704B" w:rsidP="00BF1158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0"/>
          <w:szCs w:val="20"/>
        </w:rPr>
      </w:pPr>
    </w:p>
    <w:tbl>
      <w:tblPr>
        <w:tblStyle w:val="TabelacomGrelh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CE0C78" w14:paraId="7E9E7FA9" w14:textId="77777777" w:rsidTr="0028273F">
        <w:trPr>
          <w:trHeight w:val="48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20359BC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Forma da iniciativa: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orma da Iniciativa"/>
            <w:tag w:val="Forma da Iniciativa"/>
            <w:id w:val="1779747642"/>
            <w:placeholder>
              <w:docPart w:val="DefaultPlaceholder_1081868575"/>
            </w:placeholder>
            <w15:color w:val="000000"/>
            <w:dropDownList>
              <w:listItem w:value="Escolha um item."/>
              <w:listItem w:displayText="Projeto de Lei" w:value="Projeto de Lei"/>
              <w:listItem w:displayText="Proposta de Lei" w:value="Proposta de Lei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59635E5" w14:textId="77777777" w:rsidR="00CE0C78" w:rsidRPr="0072305A" w:rsidRDefault="006D078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Projeto de Lei</w:t>
                </w:r>
              </w:p>
            </w:tc>
          </w:sdtContent>
        </w:sdt>
      </w:tr>
      <w:tr w:rsidR="00CE0C78" w14:paraId="1CD18930" w14:textId="77777777" w:rsidTr="0028273F">
        <w:trPr>
          <w:trHeight w:val="54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475B3" w14:textId="77777777" w:rsidR="00CE0C78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Nº da iniciativa/LEG/sessão: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41EE1" w14:textId="585AA9C1" w:rsidR="00CE0C78" w:rsidRDefault="00A65A6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D53DF">
                <w:rPr>
                  <w:rStyle w:val="Hiperligao"/>
                  <w:rFonts w:ascii="Arial" w:hAnsi="Arial" w:cs="Arial"/>
                  <w:sz w:val="20"/>
                  <w:szCs w:val="20"/>
                </w:rPr>
                <w:t>290/XV/1.ª</w:t>
              </w:r>
            </w:hyperlink>
          </w:p>
        </w:tc>
      </w:tr>
      <w:tr w:rsidR="00CE0C78" w14:paraId="11B9D125" w14:textId="77777777" w:rsidTr="0028273F">
        <w:trPr>
          <w:trHeight w:val="31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8BC0C" w14:textId="77777777" w:rsidR="00CE0C78" w:rsidRPr="005576E5" w:rsidRDefault="00CE0C7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576E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Proponente/s: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2E861" w14:textId="10C0ADA1" w:rsidR="00CE0C78" w:rsidRPr="009C1D11" w:rsidRDefault="00A65A68" w:rsidP="006D0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ponentes"/>
                <w:tag w:val="Proponentes"/>
                <w:id w:val="1937632089"/>
                <w:placeholder>
                  <w:docPart w:val="E6EE036215DF43E4A85F80D51ADD2FA3"/>
                </w:placeholder>
                <w:dropDownList>
                  <w:listItem w:value="Escolha um item."/>
                  <w:listItem w:displayText="Deputada Única Representante do Pessoas-Animais-Natureza (PAN)" w:value="Deputada Única Representante do Pessoas-Animais-Natureza (PAN)"/>
                  <w:listItem w:displayText="Deputado Único Representante do Livre (L)" w:value="Deputado Único Representante do Livre (L)"/>
                  <w:listItem w:displayText="Deputados do Grupo Parlamentar do Bloco de Esquerda (BE)" w:value="Deputados do Grupo Parlamentar do Bloco de Esquerda (BE)"/>
                  <w:listItem w:displayText="Deputados do Grupo Parlamentar do Partido Comunista Português (PCP)" w:value="Deputados do Grupo Parlamentar do Partido Comunista Português (PCP)"/>
                  <w:listItem w:displayText="Deputados do Grupo Parlamentar da Iniciativa Liberal (IL)" w:value="Deputados do Grupo Parlamentar da Iniciativa Liberal (IL)"/>
                  <w:listItem w:displayText="Deputados do Grupo Parlamentar do Chega (CH)" w:value="Deputados do Grupo Parlamentar do Chega (CH)"/>
                  <w:listItem w:displayText="Deputados do Grupo Parlamentar do Partido Social Democrata (PSD)" w:value="Deputados do Grupo Parlamentar do Partido Social Democrata (PSD)"/>
                  <w:listItem w:displayText="Deputados do Grupo Parlamentar do Partido Socialista (PS)" w:value="Deputados do Grupo Parlamentar do Partido Socialista (PS)"/>
                </w:dropDownList>
              </w:sdtPr>
              <w:sdtEndPr/>
              <w:sdtContent>
                <w:r w:rsidR="00DD53DF">
                  <w:rPr>
                    <w:rFonts w:ascii="Arial" w:hAnsi="Arial" w:cs="Arial"/>
                    <w:sz w:val="20"/>
                    <w:szCs w:val="20"/>
                  </w:rPr>
                  <w:t>Deputada Única Representante do Pessoas-Animais-Natureza (PAN)</w:t>
                </w:r>
              </w:sdtContent>
            </w:sdt>
          </w:p>
        </w:tc>
      </w:tr>
      <w:tr w:rsidR="00CE0C78" w14:paraId="27A6C3E3" w14:textId="77777777" w:rsidTr="0028273F">
        <w:trPr>
          <w:trHeight w:val="1615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2E51" w14:textId="77777777" w:rsidR="00CE0C78" w:rsidRDefault="00BF11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Título</w:t>
            </w:r>
            <w:r w:rsidR="00CE0C78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A3E8" w14:textId="3CC6475A" w:rsidR="00CE0C78" w:rsidRPr="000450E5" w:rsidRDefault="006319A7" w:rsidP="000450E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DD53DF" w:rsidRPr="00DD53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Estabelece mecanismos de compensação para docentes deslocados da residência no cumprimento do seu exercício profissional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00A4B" w14:paraId="18EC8E92" w14:textId="77777777" w:rsidTr="004A7A83">
        <w:trPr>
          <w:trHeight w:val="264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5B5AE" w14:textId="0BF29B93" w:rsidR="00600A4B" w:rsidRDefault="00600A4B" w:rsidP="00D8032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pode 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envolve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, no ano económico em curso, aumento das despesas ou diminui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ção das receitas previstas no Orçamento do Estado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n.º </w:t>
            </w:r>
            <w:r w:rsid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2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167.º da Constituição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e n.º 2 do artigo 120</w:t>
            </w:r>
            <w:r w:rsidR="0028273F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do Regimento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31DD9" w14:textId="1CC2F568" w:rsidR="00D3051E" w:rsidRDefault="00DD53DF" w:rsidP="001C1153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NÂO</w:t>
            </w:r>
          </w:p>
          <w:p w14:paraId="7295BE00" w14:textId="77777777" w:rsidR="00A65A68" w:rsidRDefault="00DD53DF" w:rsidP="00F33A0E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A7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A83" w:rsidRPr="004A7A83">
              <w:rPr>
                <w:rFonts w:ascii="Arial" w:hAnsi="Arial" w:cs="Arial"/>
                <w:sz w:val="20"/>
                <w:szCs w:val="20"/>
              </w:rPr>
              <w:t xml:space="preserve">limite à </w:t>
            </w:r>
            <w:r w:rsidR="004F7322">
              <w:rPr>
                <w:rFonts w:ascii="Arial" w:hAnsi="Arial" w:cs="Arial"/>
                <w:sz w:val="20"/>
                <w:szCs w:val="20"/>
              </w:rPr>
              <w:t>a</w:t>
            </w:r>
            <w:r w:rsidR="004A7A83" w:rsidRPr="004A7A83">
              <w:rPr>
                <w:rFonts w:ascii="Arial" w:hAnsi="Arial" w:cs="Arial"/>
                <w:sz w:val="20"/>
                <w:szCs w:val="20"/>
              </w:rPr>
              <w:t xml:space="preserve">presentação de iniciativas consagrado no </w:t>
            </w:r>
          </w:p>
          <w:p w14:paraId="2D07A25D" w14:textId="400A9F80" w:rsidR="00EB74C3" w:rsidRPr="00D9403D" w:rsidRDefault="004A7A83" w:rsidP="00F33A0E">
            <w:pPr>
              <w:tabs>
                <w:tab w:val="left" w:pos="138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A83">
              <w:rPr>
                <w:rFonts w:ascii="Arial" w:hAnsi="Arial" w:cs="Arial"/>
                <w:sz w:val="20"/>
                <w:szCs w:val="20"/>
              </w:rPr>
              <w:t>n.º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A83">
              <w:rPr>
                <w:rFonts w:ascii="Arial" w:hAnsi="Arial" w:cs="Arial"/>
                <w:sz w:val="20"/>
                <w:szCs w:val="20"/>
              </w:rPr>
              <w:t>2 do artigo 167.º da Constituição e no n.º 2 do artigo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A83">
              <w:rPr>
                <w:rFonts w:ascii="Arial" w:hAnsi="Arial" w:cs="Arial"/>
                <w:sz w:val="20"/>
                <w:szCs w:val="20"/>
              </w:rPr>
              <w:t xml:space="preserve">120.º do Regimento, conhecido como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4A7A83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7A83">
              <w:rPr>
                <w:rFonts w:ascii="Arial" w:hAnsi="Arial" w:cs="Arial"/>
                <w:sz w:val="20"/>
                <w:szCs w:val="20"/>
              </w:rPr>
              <w:t>travão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DD53DF">
              <w:rPr>
                <w:rFonts w:ascii="Arial" w:hAnsi="Arial" w:cs="Arial"/>
                <w:sz w:val="20"/>
                <w:szCs w:val="20"/>
              </w:rPr>
              <w:t xml:space="preserve">, encontra-se acautelado pela previsão, no artigo 6.º da iniciativa, da entrada em vigor da lei com o Orçamento do Estado subsequente à sua publicação. </w:t>
            </w:r>
          </w:p>
        </w:tc>
      </w:tr>
      <w:tr w:rsidR="005A1761" w14:paraId="70BD64BF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64723" w14:textId="74BE250C" w:rsidR="005A1761" w:rsidRDefault="005A1761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iniciativa respeita o limite </w:t>
            </w:r>
            <w:r w:rsidR="00016979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de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não renovação 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na mesma sessão legislativa, 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4 do artigo 167.º da Constituição e n.º 3 do artigo 120.º do R</w:t>
            </w:r>
            <w:r w:rsidR="001500F8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egimento</w:t>
            </w:r>
            <w:r w:rsidR="00016979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  <w:r w:rsidRPr="005A1761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3EA39" w14:textId="14CDB841" w:rsidR="005A1761" w:rsidRDefault="002278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E67ECD" w14:paraId="483FD736" w14:textId="77777777" w:rsidTr="0028273F">
        <w:trPr>
          <w:trHeight w:val="951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DDA3" w14:textId="73607291" w:rsidR="00680400" w:rsidRDefault="00600A4B" w:rsidP="00680400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O proponente junta f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icha de avaliação prévia de impacto de género (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deliberação </w:t>
            </w:r>
            <w:r w:rsidR="00C76F7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da </w:t>
            </w:r>
            <w:r w:rsidR="0089376B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CL e </w:t>
            </w:r>
            <w:r w:rsidR="00680400" w:rsidRP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Lei n.º 4/2018, de 9 de fevereiro</w:t>
            </w:r>
            <w:r w:rsidR="00680400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Junta ficha AIG?"/>
            <w:tag w:val="Junta ficha AIG?"/>
            <w:id w:val="474111213"/>
            <w:placeholder>
              <w:docPart w:val="7648F17C8DF24CC588AA4242EE7B1286"/>
            </w:placeholder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197F93" w14:textId="7F1EAC3A" w:rsidR="00E67ECD" w:rsidRDefault="000B2120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SIM</w:t>
                </w:r>
              </w:p>
            </w:tc>
          </w:sdtContent>
        </w:sdt>
      </w:tr>
      <w:tr w:rsidR="00942A82" w14:paraId="6BAF76F2" w14:textId="77777777" w:rsidTr="0028273F">
        <w:trPr>
          <w:trHeight w:val="99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FFDEB" w14:textId="2071919A" w:rsidR="00942A82" w:rsidRDefault="00094D16" w:rsidP="00094D16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Justifica-se a a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udição dos órgãos de governo própr</w:t>
            </w:r>
            <w:r w:rsidR="00D8032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io das regiões autónomas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(art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142.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º do Regimento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, para efeitos do </w:t>
            </w:r>
            <w:r w:rsidR="00D8032E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n.º 2 do art</w:t>
            </w:r>
            <w:r w:rsidR="00C76F76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igo</w:t>
            </w:r>
            <w:r w:rsidR="00942A82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229</w:t>
            </w:r>
            <w:r w:rsidR="00942A82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.º da Constituição)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udição RA´s"/>
            <w:tag w:val="Norma de entrada em vigor - Lei Travão"/>
            <w:id w:val="974410459"/>
            <w:placeholder>
              <w:docPart w:val="AE762F967234485982605F9735E62828"/>
            </w:placeholder>
            <w:dropDownList>
              <w:listItem w:value="Escolha um item."/>
              <w:listItem w:displayText="Parece justificar-se" w:value="Parece justificar-se"/>
              <w:listItem w:displayText="Não parece justificar-se" w:value="Não parece justificar-se"/>
            </w:dropDownList>
          </w:sdtPr>
          <w:sdtEndPr/>
          <w:sdtContent>
            <w:tc>
              <w:tcPr>
                <w:tcW w:w="524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  <w:hideMark/>
              </w:tcPr>
              <w:p w14:paraId="502D0F44" w14:textId="6F27EC97" w:rsidR="00942A82" w:rsidRDefault="000B2120" w:rsidP="00942A82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Não parece justificar-se</w:t>
                </w:r>
              </w:p>
            </w:tc>
          </w:sdtContent>
        </w:sdt>
      </w:tr>
      <w:tr w:rsidR="00BF1158" w14:paraId="660A7536" w14:textId="77777777" w:rsidTr="0028273F">
        <w:trPr>
          <w:trHeight w:val="6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731A8C" w14:textId="68A63EE7" w:rsidR="00BF1158" w:rsidRDefault="00BF1158" w:rsidP="0087377E">
            <w:pPr>
              <w:spacing w:line="360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 </w:t>
            </w:r>
            <w:r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iniciativa </w:t>
            </w:r>
            <w:r w:rsidR="0028273F" w:rsidRPr="00FB55C6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foi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agendada </w:t>
            </w:r>
            <w:r w:rsidR="00D8592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pela CL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ou </w:t>
            </w:r>
            <w:r w:rsidR="0087377E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tem pedido de arrastamento</w:t>
            </w: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?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CE57C8" w14:textId="493E46F2" w:rsidR="000450E5" w:rsidRDefault="006319A7" w:rsidP="0030656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A65E9" w14:paraId="48EFBF5F" w14:textId="77777777" w:rsidTr="0028273F">
        <w:trPr>
          <w:trHeight w:val="345"/>
        </w:trPr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99513CC" w14:textId="7C98A7C7" w:rsidR="007A65E9" w:rsidRDefault="008F1428" w:rsidP="00094D16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Comissão competente em razão da matéria e eventuais conexões: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717" w14:textId="77777777" w:rsidR="00733D88" w:rsidRDefault="00733D88" w:rsidP="00E609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Style w:val="textoregular"/>
                <w:rFonts w:ascii="Arial" w:hAnsi="Arial" w:cs="Arial"/>
                <w:b/>
                <w:sz w:val="20"/>
              </w:rPr>
              <w:alias w:val="Comissão competente"/>
              <w:tag w:val="Comissão competente"/>
              <w:id w:val="456029345"/>
              <w:placeholder>
                <w:docPart w:val="083EF4A96FF942398A8FC71C6A8C016E"/>
              </w:placeholder>
              <w:comboBox>
                <w:listItem w:value="Escolha um item."/>
                <w:listItem w:displayText="Comissão de Assuntos Constitucionais, Direitos, Liberdades e Garantias (1.ª)" w:value="Comissão de Assuntos Constitucionais, Direitos, Liberdades e Garantias (1.ª)"/>
                <w:listItem w:displayText="Comissão de Negócios Estrangeiros e Comunidades Portuguesas (2.ª)" w:value="Comissão de Negócios Estrangeiros e Comunidades Portuguesas (2.ª)"/>
                <w:listItem w:displayText="Comissão de Defesa Nacional (3.ª)" w:value="Comissão de Defesa Nacional (3.ª)"/>
                <w:listItem w:displayText="Comissão de Assuntos Europeus (4.ª)" w:value="Comissão de Assuntos Europeus (4.ª)"/>
                <w:listItem w:displayText="Comissão de Orçamento e Finanças (5.ª)" w:value="Comissão de Orçamento e Finanças (5.ª)"/>
                <w:listItem w:displayText="Comissão de Economia, Obras Públicas, Planeamento e Habitação (6.ª)" w:value="Comissão de Economia, Obras Públicas, Planeamento e Habitação (6.ª)"/>
                <w:listItem w:displayText="Comissão de Agricultura e Pescas (7.ª)" w:value="Comissão de Agricultura e Pescas (7.ª)"/>
                <w:listItem w:displayText="Comissão de Educação e Ciência (8.ª)" w:value="Comissão de Educação e Ciência (8.ª)"/>
                <w:listItem w:displayText="Comissão de Saúde (9.ª)" w:value="Comissão de Saúde (9.ª)"/>
                <w:listItem w:displayText="Comissão de Trabalho, Segurança Social e Inclusão (10.ª)" w:value="Comissão de Trabalho, Segurança Social e Inclusão (10.ª)"/>
                <w:listItem w:displayText="Comissão de Ambiente e Energia (11.ª)" w:value="Comissão de Ambiente e Energia (11.ª)"/>
                <w:listItem w:displayText="Comissão de Cultura, Comunicação, Juventude e Desporto (12.ª)" w:value="Comissão de Cultura, Comunicação, Juventude e Desporto (12.ª)"/>
                <w:listItem w:displayText="Comissão de Administração Pública, Ordenamento do Território e Poder Local (13.ª)" w:value="Comissão de Administração Pública, Ordenamento do Território e Poder Local (13.ª)"/>
                <w:listItem w:displayText="Comissão de Transparência e Estatuto dos Deputados (14.ª)" w:value="Comissão de Transparência e Estatuto dos Deputados (14.ª)"/>
              </w:comboBox>
            </w:sdtPr>
            <w:sdtEndPr>
              <w:rPr>
                <w:rStyle w:val="textoregular"/>
              </w:rPr>
            </w:sdtEndPr>
            <w:sdtContent>
              <w:p w14:paraId="321AC135" w14:textId="60691CC1" w:rsidR="00733D88" w:rsidRDefault="000633DE" w:rsidP="00733D88">
                <w:pPr>
                  <w:spacing w:line="288" w:lineRule="auto"/>
                  <w:ind w:left="142"/>
                  <w:rPr>
                    <w:rStyle w:val="textoregular"/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textoregular"/>
                    <w:rFonts w:ascii="Arial" w:hAnsi="Arial" w:cs="Arial"/>
                    <w:b/>
                    <w:sz w:val="20"/>
                  </w:rPr>
                  <w:t>Comissão de Educação e Ciência (8.ª)</w:t>
                </w:r>
              </w:p>
            </w:sdtContent>
          </w:sdt>
          <w:p w14:paraId="4C0C2729" w14:textId="77777777" w:rsidR="00980247" w:rsidRDefault="00980247" w:rsidP="00AB6D3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  <w:szCs w:val="20"/>
              </w:rPr>
            </w:pPr>
          </w:p>
          <w:p w14:paraId="572531AE" w14:textId="3B810F06" w:rsidR="00DB440F" w:rsidRPr="008970AF" w:rsidRDefault="00DB440F" w:rsidP="00AB6D32">
            <w:pPr>
              <w:spacing w:line="360" w:lineRule="auto"/>
              <w:jc w:val="both"/>
              <w:rPr>
                <w:rStyle w:val="textoregular"/>
                <w:rFonts w:ascii="Arial" w:hAnsi="Arial" w:cs="Arial"/>
                <w:sz w:val="20"/>
                <w:szCs w:val="20"/>
              </w:rPr>
            </w:pPr>
          </w:p>
        </w:tc>
      </w:tr>
      <w:tr w:rsidR="003F7082" w14:paraId="0ED5A74A" w14:textId="77777777" w:rsidTr="0028273F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036CA" w14:textId="77777777" w:rsidR="00E25C01" w:rsidRDefault="00E25C01" w:rsidP="003F7082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59659AEE" w14:textId="40D2BCC9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regulamentação da presente iniciativa prevista no artigo 5.º implica a </w:t>
            </w:r>
            <w:r w:rsidRPr="00C0693B">
              <w:rPr>
                <w:rFonts w:ascii="Arial" w:hAnsi="Arial" w:cs="Arial"/>
                <w:bCs/>
                <w:sz w:val="20"/>
                <w:szCs w:val="20"/>
              </w:rPr>
              <w:t xml:space="preserve">abertura de um processo negocial com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C0693B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E25C01">
              <w:rPr>
                <w:rFonts w:ascii="Arial" w:hAnsi="Arial" w:cs="Arial"/>
                <w:bCs/>
                <w:sz w:val="20"/>
                <w:szCs w:val="20"/>
              </w:rPr>
              <w:t>estruturas representativas dos Professores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», </w:t>
            </w:r>
            <w:r w:rsidRPr="00E25C01">
              <w:rPr>
                <w:rFonts w:ascii="Arial" w:hAnsi="Arial" w:cs="Arial"/>
                <w:bCs/>
                <w:sz w:val="20"/>
                <w:szCs w:val="20"/>
              </w:rPr>
              <w:t>defini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E25C01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E25C01">
              <w:rPr>
                <w:rFonts w:ascii="Arial" w:hAnsi="Arial" w:cs="Arial"/>
                <w:bCs/>
                <w:sz w:val="20"/>
                <w:szCs w:val="20"/>
              </w:rPr>
              <w:t>designadamente o montante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5C01">
              <w:rPr>
                <w:rFonts w:ascii="Arial" w:hAnsi="Arial" w:cs="Arial"/>
                <w:bCs/>
                <w:sz w:val="20"/>
                <w:szCs w:val="20"/>
              </w:rPr>
              <w:t>máximo dos mecanismos compensação previstos.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29F590FA" w14:textId="77777777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C78B9B" w14:textId="77777777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Esta norma, que parece conter uma injunção de caráter juridicamente vinculativo dirigida ao Governo, poderá suscitar dúvidas relativamente ao respeito pelo </w:t>
            </w:r>
            <w:r w:rsidRPr="008F5D21">
              <w:rPr>
                <w:rFonts w:ascii="Arial" w:hAnsi="Arial" w:cs="Arial"/>
                <w:bCs/>
                <w:sz w:val="20"/>
                <w:szCs w:val="20"/>
              </w:rPr>
              <w:t>princípio da separação de poderes, subjacente ao princípio do Estado de direito democrático e previsto nos artigos 2.º e 111.º da Constituição.</w:t>
            </w:r>
          </w:p>
          <w:p w14:paraId="1E438969" w14:textId="77777777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1FFB3B4B" w14:textId="1F0AEF51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6AB5">
              <w:rPr>
                <w:rFonts w:ascii="Arial" w:hAnsi="Arial" w:cs="Arial"/>
                <w:bCs/>
                <w:sz w:val="20"/>
                <w:szCs w:val="20"/>
              </w:rPr>
              <w:t xml:space="preserve">Com efeito,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início de um processo negocial com as estruturas representativas ou sindicais parece ser </w:t>
            </w:r>
            <w:r w:rsidRPr="003C7032">
              <w:rPr>
                <w:rFonts w:ascii="Arial" w:hAnsi="Arial" w:cs="Arial"/>
                <w:bCs/>
                <w:sz w:val="20"/>
                <w:szCs w:val="20"/>
              </w:rPr>
              <w:t>um ato de natureza administrativa</w:t>
            </w:r>
            <w:r w:rsidRPr="000047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3C7032">
              <w:rPr>
                <w:rFonts w:ascii="Arial" w:hAnsi="Arial" w:cs="Arial"/>
                <w:bCs/>
                <w:sz w:val="20"/>
                <w:szCs w:val="20"/>
              </w:rPr>
              <w:t>que envolve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uma margem de discricionariedade ou</w:t>
            </w:r>
            <w:r w:rsidRPr="003C70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Pr="003C7032">
              <w:rPr>
                <w:rFonts w:ascii="Arial" w:hAnsi="Arial" w:cs="Arial"/>
                <w:bCs/>
                <w:sz w:val="20"/>
                <w:szCs w:val="20"/>
              </w:rPr>
              <w:t>juízo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7032">
              <w:rPr>
                <w:rFonts w:ascii="Arial" w:hAnsi="Arial" w:cs="Arial"/>
                <w:bCs/>
                <w:sz w:val="20"/>
                <w:szCs w:val="20"/>
              </w:rPr>
              <w:t>de oportunidade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BC6AB5">
              <w:rPr>
                <w:rFonts w:ascii="Arial" w:hAnsi="Arial" w:cs="Arial"/>
                <w:bCs/>
                <w:sz w:val="20"/>
                <w:szCs w:val="20"/>
              </w:rPr>
              <w:t>por parte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 órgão de soberania que o pratica. A fixação de um prazo vinculativo para aquele efeito poderá, assim, ser suscetível de interferir com a autonomia do Governo no exercício da sua competência administrativa (artigo 199.º da Constituição). </w:t>
            </w:r>
          </w:p>
          <w:p w14:paraId="041E5DED" w14:textId="77777777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610FC" w14:textId="77777777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Neste sentido, </w:t>
            </w:r>
            <w:r w:rsidRPr="006A4671">
              <w:rPr>
                <w:rFonts w:ascii="Arial" w:hAnsi="Arial" w:cs="Arial"/>
                <w:bCs/>
                <w:sz w:val="20"/>
                <w:szCs w:val="20"/>
              </w:rPr>
              <w:t>Gomes Canotilho e Vital Moreira</w:t>
            </w:r>
            <w:r>
              <w:rPr>
                <w:rStyle w:val="Refdenotaderodap"/>
                <w:rFonts w:cs="Arial"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escrevem que</w:t>
            </w:r>
            <w:r w:rsidRPr="006A46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6A4671">
              <w:rPr>
                <w:rFonts w:ascii="Arial" w:hAnsi="Arial" w:cs="Arial"/>
                <w:bCs/>
                <w:sz w:val="20"/>
                <w:szCs w:val="20"/>
              </w:rPr>
              <w:t>as relações do Governo com a Assembleia da República são relações de autonomia e de prestação de contas e de responsabilidade; não são relações de subordinação hierárquica ou de superintendência, pelo que não pode o Governo ser vinculado a exercer o seu poder regulamentar (ou legislativo) por instruções ou injunções da Assembleia 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4671">
              <w:rPr>
                <w:rFonts w:ascii="Arial" w:hAnsi="Arial" w:cs="Arial"/>
                <w:bCs/>
                <w:sz w:val="20"/>
                <w:szCs w:val="20"/>
              </w:rPr>
              <w:t>República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 w:rsidRPr="006A467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FC65CC1" w14:textId="77777777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11D58" w14:textId="3202D5CF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4671">
              <w:rPr>
                <w:rFonts w:ascii="Arial" w:hAnsi="Arial" w:cs="Arial"/>
                <w:bCs/>
                <w:sz w:val="20"/>
                <w:szCs w:val="20"/>
              </w:rPr>
              <w:t xml:space="preserve">Sobre questão semelhante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à colocada pela presente iniciativa </w:t>
            </w:r>
            <w:r w:rsidRPr="006A4671">
              <w:rPr>
                <w:rFonts w:ascii="Arial" w:hAnsi="Arial" w:cs="Arial"/>
                <w:bCs/>
                <w:sz w:val="20"/>
                <w:szCs w:val="20"/>
              </w:rPr>
              <w:t xml:space="preserve">incidiu o </w:t>
            </w:r>
            <w:hyperlink r:id="rId8" w:history="1">
              <w:r w:rsidRPr="006A4671">
                <w:rPr>
                  <w:rStyle w:val="Hiperligao"/>
                  <w:rFonts w:ascii="Arial" w:hAnsi="Arial" w:cs="Arial"/>
                  <w:bCs/>
                  <w:sz w:val="20"/>
                  <w:szCs w:val="20"/>
                </w:rPr>
                <w:t>Acórdão do Tribunal Constitucional n.º 214/2011</w:t>
              </w:r>
            </w:hyperlink>
            <w:r>
              <w:rPr>
                <w:rStyle w:val="Refdenotaderodap"/>
                <w:rFonts w:cs="Arial"/>
                <w:bCs/>
                <w:color w:val="0563C1" w:themeColor="hyperlink"/>
                <w:sz w:val="20"/>
                <w:szCs w:val="20"/>
                <w:u w:val="single"/>
              </w:rPr>
              <w:footnoteReference w:id="2"/>
            </w:r>
            <w:r>
              <w:rPr>
                <w:rStyle w:val="Refdenotaderodap"/>
                <w:rFonts w:cs="Arial"/>
                <w:bCs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Cs/>
                <w:sz w:val="20"/>
                <w:szCs w:val="20"/>
              </w:rPr>
              <w:t>, onde se refere que «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00474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início de um procedimento negocial é matéria de natureza administrativa uma vez que envolve juízos de mérito e de oportunidade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8B5F6B">
              <w:rPr>
                <w:rFonts w:ascii="Arial" w:hAnsi="Arial" w:cs="Arial"/>
                <w:bCs/>
                <w:sz w:val="20"/>
                <w:szCs w:val="20"/>
              </w:rPr>
              <w:t>(…)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 e que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E509A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 decisão sobre o se e o quando da iniciativa de desencadear negociações com vista à alteração do ordenamento - com as associações sindicais ou com outros portadores de interesses que devam participar - é uma opção política que um órgão de soberania não pode impor ao outro, mesmo nos espaços onde ambos concorram no poder de regulação emergente, seja este </w:t>
            </w:r>
            <w:proofErr w:type="spellStart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equiordenado</w:t>
            </w:r>
            <w:proofErr w:type="spellEnd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(lei-decreto-lei) seja escalonado (</w:t>
            </w:r>
            <w:proofErr w:type="spellStart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acto</w:t>
            </w:r>
            <w:proofErr w:type="spellEnd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legislativo-</w:t>
            </w:r>
            <w:proofErr w:type="spellStart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acto</w:t>
            </w:r>
            <w:proofErr w:type="spellEnd"/>
            <w:r w:rsidRPr="006A46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regulamentar).</w:t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31D13B9E" w14:textId="76E4B4D1" w:rsidR="00A65A68" w:rsidRDefault="00A65A68" w:rsidP="00E25C0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3F9025" w14:textId="77777777" w:rsidR="00A65A68" w:rsidRPr="00A65A68" w:rsidRDefault="00A65A68" w:rsidP="00A65A68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5A68">
              <w:rPr>
                <w:rFonts w:ascii="Arial" w:hAnsi="Arial" w:cs="Arial"/>
                <w:bCs/>
                <w:sz w:val="20"/>
                <w:szCs w:val="20"/>
              </w:rPr>
              <w:t xml:space="preserve">De acordo com o disposto no artigo 120.º do Regimento, não são admitidos projetos e propostas de lei ou propostas de alteração que infrinjam a Constituição ou os princípios nela consignados. </w:t>
            </w:r>
          </w:p>
          <w:p w14:paraId="2289C9F7" w14:textId="77777777" w:rsidR="00A65A68" w:rsidRPr="00A65A68" w:rsidRDefault="00A65A68" w:rsidP="00A65A68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5A68">
              <w:rPr>
                <w:rFonts w:ascii="Arial" w:hAnsi="Arial" w:cs="Arial"/>
                <w:bCs/>
                <w:sz w:val="20"/>
                <w:szCs w:val="20"/>
              </w:rPr>
              <w:t>Competindo aos serviços da Assembleia da República fornecer a informação necessária para apoiar a tomada de decisões, assinalamos que, apesar de a referida norma deste projeto de lei nos suscitar dúvidas jurídicas sobre a sua constitucionalidade, as mesmas são suscetíveis de serem eliminadas ou corrigidas em sede de discussão na especialidade.</w:t>
            </w:r>
          </w:p>
          <w:p w14:paraId="75E0BE98" w14:textId="77777777" w:rsidR="00E25C01" w:rsidRDefault="00E25C01" w:rsidP="00E25C01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  <w:p w14:paraId="49FCD091" w14:textId="77777777" w:rsidR="00E25C01" w:rsidRPr="00626C8C" w:rsidRDefault="00E25C01" w:rsidP="00E25C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6C8C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Conclusão:</w:t>
            </w:r>
            <w:r w:rsidRPr="00626C8C">
              <w:rPr>
                <w:rFonts w:ascii="Arial" w:hAnsi="Arial" w:cs="Arial"/>
                <w:sz w:val="20"/>
                <w:szCs w:val="20"/>
              </w:rPr>
              <w:t xml:space="preserve"> A apresentação desta iniciativa parece </w:t>
            </w:r>
            <w:r w:rsidRPr="00626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cumprir </w:t>
            </w:r>
            <w:r w:rsidRPr="00626C8C">
              <w:rPr>
                <w:rFonts w:ascii="Arial" w:hAnsi="Arial" w:cs="Arial"/>
                <w:sz w:val="20"/>
                <w:szCs w:val="20"/>
              </w:rPr>
              <w:t>os requisitos formais de admissibilidade previstos na Constituição e no Regimento da Assembleia da República</w:t>
            </w:r>
            <w:r>
              <w:rPr>
                <w:rFonts w:ascii="Arial" w:hAnsi="Arial" w:cs="Arial"/>
                <w:sz w:val="20"/>
                <w:szCs w:val="20"/>
              </w:rPr>
              <w:t>, embora com as reservas assinaladas</w:t>
            </w:r>
            <w:r w:rsidRPr="00626C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FED8F3" w14:textId="018BCA93" w:rsidR="003F7082" w:rsidRPr="003F7082" w:rsidRDefault="003F7082" w:rsidP="003F7082">
            <w:pPr>
              <w:spacing w:line="276" w:lineRule="auto"/>
              <w:jc w:val="both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6B174440" w14:textId="77777777" w:rsidR="00E74E2C" w:rsidRPr="00E74E2C" w:rsidRDefault="00E74E2C" w:rsidP="0089376B">
      <w:pPr>
        <w:spacing w:line="360" w:lineRule="auto"/>
        <w:ind w:firstLine="708"/>
        <w:jc w:val="both"/>
        <w:rPr>
          <w:rFonts w:ascii="Arial" w:hAnsi="Arial" w:cs="Arial"/>
          <w:sz w:val="12"/>
          <w:szCs w:val="12"/>
        </w:rPr>
      </w:pPr>
    </w:p>
    <w:p w14:paraId="11C3A6D0" w14:textId="77777777" w:rsidR="00E25C01" w:rsidRDefault="00E25C01" w:rsidP="002278D1">
      <w:pPr>
        <w:rPr>
          <w:rFonts w:ascii="Arial" w:hAnsi="Arial" w:cs="Arial"/>
          <w:sz w:val="20"/>
          <w:szCs w:val="20"/>
        </w:rPr>
      </w:pPr>
    </w:p>
    <w:p w14:paraId="0E1633F5" w14:textId="6E78222A" w:rsidR="002278D1" w:rsidRDefault="002278D1" w:rsidP="002278D1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Assembleia da República, </w:t>
      </w:r>
      <w:r w:rsidR="00E25C01">
        <w:rPr>
          <w:rFonts w:ascii="Arial" w:hAnsi="Arial" w:cs="Arial"/>
          <w:sz w:val="20"/>
          <w:szCs w:val="20"/>
        </w:rPr>
        <w:t>19</w:t>
      </w:r>
      <w:r w:rsidR="001610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E25C01">
        <w:rPr>
          <w:rFonts w:ascii="Arial" w:hAnsi="Arial" w:cs="Arial"/>
          <w:sz w:val="20"/>
          <w:szCs w:val="20"/>
        </w:rPr>
        <w:t xml:space="preserve">setembro </w:t>
      </w:r>
      <w:r>
        <w:rPr>
          <w:rFonts w:ascii="Arial" w:hAnsi="Arial" w:cs="Arial"/>
          <w:sz w:val="20"/>
          <w:szCs w:val="20"/>
        </w:rPr>
        <w:t>de 2022</w:t>
      </w:r>
    </w:p>
    <w:p w14:paraId="04D3E63F" w14:textId="77777777" w:rsidR="002278D1" w:rsidRDefault="002278D1" w:rsidP="002278D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A0C1" w14:textId="0F067BFC" w:rsidR="002278D1" w:rsidRDefault="00E25C01" w:rsidP="002278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278D1">
        <w:rPr>
          <w:rFonts w:ascii="Arial" w:hAnsi="Arial" w:cs="Arial"/>
          <w:sz w:val="20"/>
          <w:szCs w:val="20"/>
        </w:rPr>
        <w:t xml:space="preserve"> Assessor Parlamentar,</w:t>
      </w:r>
    </w:p>
    <w:p w14:paraId="3377F617" w14:textId="24BAD79C" w:rsidR="002278D1" w:rsidRDefault="00E25C01" w:rsidP="00227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Filipe Sousa </w:t>
      </w:r>
      <w:r w:rsidR="002278D1">
        <w:rPr>
          <w:rFonts w:ascii="Arial" w:hAnsi="Arial" w:cs="Arial"/>
          <w:sz w:val="20"/>
          <w:szCs w:val="20"/>
        </w:rPr>
        <w:t>(</w:t>
      </w:r>
      <w:proofErr w:type="spellStart"/>
      <w:r w:rsidR="002278D1">
        <w:rPr>
          <w:rFonts w:ascii="Arial" w:hAnsi="Arial" w:cs="Arial"/>
          <w:sz w:val="20"/>
          <w:szCs w:val="20"/>
        </w:rPr>
        <w:t>Ext</w:t>
      </w:r>
      <w:proofErr w:type="spellEnd"/>
      <w:r w:rsidR="002278D1">
        <w:rPr>
          <w:rFonts w:ascii="Arial" w:hAnsi="Arial" w:cs="Arial"/>
          <w:sz w:val="20"/>
          <w:szCs w:val="20"/>
        </w:rPr>
        <w:t>: 1</w:t>
      </w:r>
      <w:r w:rsidR="00C8056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787</w:t>
      </w:r>
      <w:r w:rsidR="002278D1">
        <w:rPr>
          <w:rFonts w:ascii="Arial" w:hAnsi="Arial" w:cs="Arial"/>
          <w:sz w:val="20"/>
          <w:szCs w:val="20"/>
        </w:rPr>
        <w:t>)</w:t>
      </w:r>
    </w:p>
    <w:p w14:paraId="76A22982" w14:textId="2383B07B" w:rsidR="0089376B" w:rsidRDefault="0089376B" w:rsidP="002278D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89376B" w:rsidSect="00BF1158">
      <w:headerReference w:type="default" r:id="rId9"/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8FFF" w14:textId="77777777" w:rsidR="00044C87" w:rsidRDefault="00044C87" w:rsidP="00BF1158">
      <w:r>
        <w:separator/>
      </w:r>
    </w:p>
  </w:endnote>
  <w:endnote w:type="continuationSeparator" w:id="0">
    <w:p w14:paraId="644DE53D" w14:textId="77777777" w:rsidR="00044C87" w:rsidRDefault="00044C87" w:rsidP="00BF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12DC" w14:textId="77777777" w:rsidR="00044C87" w:rsidRDefault="00044C87" w:rsidP="00BF1158">
      <w:r>
        <w:separator/>
      </w:r>
    </w:p>
  </w:footnote>
  <w:footnote w:type="continuationSeparator" w:id="0">
    <w:p w14:paraId="1D4775A7" w14:textId="77777777" w:rsidR="00044C87" w:rsidRDefault="00044C87" w:rsidP="00BF1158">
      <w:r>
        <w:continuationSeparator/>
      </w:r>
    </w:p>
  </w:footnote>
  <w:footnote w:id="1">
    <w:p w14:paraId="02DA348E" w14:textId="42D0B303" w:rsidR="00E25C01" w:rsidRPr="000E509A" w:rsidRDefault="00E25C01" w:rsidP="00E25C01">
      <w:pPr>
        <w:pStyle w:val="Textodenotaderodap"/>
        <w:ind w:right="-1134"/>
        <w:jc w:val="both"/>
        <w:rPr>
          <w:rFonts w:ascii="Arial" w:hAnsi="Arial" w:cs="Arial"/>
          <w:sz w:val="18"/>
          <w:szCs w:val="18"/>
        </w:rPr>
      </w:pPr>
      <w:r w:rsidRPr="000E509A">
        <w:rPr>
          <w:rStyle w:val="Refdenotaderodap"/>
          <w:rFonts w:cs="Arial"/>
          <w:sz w:val="18"/>
          <w:szCs w:val="18"/>
        </w:rPr>
        <w:footnoteRef/>
      </w:r>
      <w:r w:rsidRPr="000E509A">
        <w:rPr>
          <w:rFonts w:ascii="Arial" w:hAnsi="Arial" w:cs="Arial"/>
          <w:sz w:val="18"/>
          <w:szCs w:val="18"/>
        </w:rPr>
        <w:t xml:space="preserve"> </w:t>
      </w:r>
      <w:r w:rsidRPr="00771EAB">
        <w:rPr>
          <w:rFonts w:ascii="Arial" w:hAnsi="Arial" w:cs="Arial"/>
          <w:sz w:val="18"/>
          <w:szCs w:val="18"/>
        </w:rPr>
        <w:t>CANOTILHO, J.J Gomes e MOREIRA, Vital, Constituição da República Portuguesa Anotada, II vol.,</w:t>
      </w:r>
      <w:r>
        <w:rPr>
          <w:rFonts w:ascii="Arial" w:hAnsi="Arial" w:cs="Arial"/>
          <w:sz w:val="18"/>
          <w:szCs w:val="18"/>
        </w:rPr>
        <w:t xml:space="preserve"> </w:t>
      </w:r>
      <w:r w:rsidRPr="00771EAB">
        <w:rPr>
          <w:rFonts w:ascii="Arial" w:hAnsi="Arial" w:cs="Arial"/>
          <w:sz w:val="18"/>
          <w:szCs w:val="18"/>
        </w:rPr>
        <w:t>4.ª ed., Coimbra Editora,</w:t>
      </w:r>
      <w:r>
        <w:rPr>
          <w:rFonts w:ascii="Arial" w:hAnsi="Arial" w:cs="Arial"/>
          <w:sz w:val="18"/>
          <w:szCs w:val="18"/>
        </w:rPr>
        <w:t xml:space="preserve"> </w:t>
      </w:r>
      <w:r w:rsidRPr="00FD5C5F">
        <w:rPr>
          <w:rFonts w:ascii="Arial" w:hAnsi="Arial" w:cs="Arial"/>
          <w:sz w:val="18"/>
          <w:szCs w:val="18"/>
        </w:rPr>
        <w:t xml:space="preserve">anotação ao artigo </w:t>
      </w:r>
      <w:r>
        <w:rPr>
          <w:rFonts w:ascii="Arial" w:hAnsi="Arial" w:cs="Arial"/>
          <w:sz w:val="18"/>
          <w:szCs w:val="18"/>
        </w:rPr>
        <w:t>182.º,</w:t>
      </w:r>
      <w:r w:rsidRPr="00771EAB">
        <w:rPr>
          <w:rFonts w:ascii="Arial" w:hAnsi="Arial" w:cs="Arial"/>
          <w:sz w:val="18"/>
          <w:szCs w:val="18"/>
        </w:rPr>
        <w:t xml:space="preserve"> p. 415</w:t>
      </w:r>
    </w:p>
  </w:footnote>
  <w:footnote w:id="2">
    <w:p w14:paraId="081ED1F4" w14:textId="77777777" w:rsidR="00E25C01" w:rsidRDefault="00E25C01" w:rsidP="00E25C01">
      <w:pPr>
        <w:pStyle w:val="Textodenotaderodap"/>
        <w:tabs>
          <w:tab w:val="left" w:pos="284"/>
        </w:tabs>
        <w:ind w:right="-1134"/>
        <w:jc w:val="both"/>
      </w:pPr>
      <w:r>
        <w:rPr>
          <w:rStyle w:val="Refdenotaderodap"/>
        </w:rPr>
        <w:footnoteRef/>
      </w:r>
      <w:r w:rsidRPr="00771EAB">
        <w:rPr>
          <w:rFonts w:ascii="Arial" w:hAnsi="Arial" w:cs="Arial"/>
          <w:sz w:val="18"/>
          <w:szCs w:val="18"/>
        </w:rPr>
        <w:t>Acórdão do Tribunal Constitucional n.º 214/2011 &lt;</w:t>
      </w:r>
      <w:proofErr w:type="spellStart"/>
      <w:r w:rsidRPr="00771EAB">
        <w:rPr>
          <w:rFonts w:ascii="Arial" w:hAnsi="Arial" w:cs="Arial"/>
          <w:sz w:val="18"/>
          <w:szCs w:val="18"/>
        </w:rPr>
        <w:t>url</w:t>
      </w:r>
      <w:proofErr w:type="spellEnd"/>
      <w:r w:rsidRPr="00771EAB">
        <w:rPr>
          <w:rFonts w:ascii="Arial" w:hAnsi="Arial" w:cs="Arial"/>
          <w:sz w:val="18"/>
          <w:szCs w:val="18"/>
        </w:rPr>
        <w:t>= https://dre.pt/pesquisa/-/search/287816/details/maximized&gt;</w:t>
      </w:r>
    </w:p>
  </w:footnote>
  <w:footnote w:id="3">
    <w:p w14:paraId="2169311F" w14:textId="77777777" w:rsidR="00E25C01" w:rsidRPr="000E509A" w:rsidRDefault="00E25C01" w:rsidP="00E25C01">
      <w:pPr>
        <w:pStyle w:val="Textodenotaderodap"/>
        <w:ind w:right="-1134"/>
        <w:jc w:val="both"/>
        <w:rPr>
          <w:rFonts w:ascii="Arial" w:hAnsi="Arial" w:cs="Arial"/>
          <w:sz w:val="18"/>
          <w:szCs w:val="18"/>
        </w:rPr>
      </w:pPr>
      <w:r w:rsidRPr="000E509A">
        <w:rPr>
          <w:rStyle w:val="Refdenotaderodap"/>
          <w:rFonts w:cs="Arial"/>
          <w:sz w:val="18"/>
          <w:szCs w:val="18"/>
        </w:rPr>
        <w:footnoteRef/>
      </w:r>
      <w:r w:rsidRPr="000E50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Acórdão</w:t>
      </w:r>
      <w:r w:rsidRPr="000E509A">
        <w:rPr>
          <w:rFonts w:ascii="Arial" w:hAnsi="Arial" w:cs="Arial"/>
          <w:sz w:val="18"/>
          <w:szCs w:val="18"/>
        </w:rPr>
        <w:t xml:space="preserve"> decidiu pela inconstitucionalidade da norma constante do Decreto n.º 84/XI da Assembleia da República, que impunha ao Governo a obrigação de «iniciar o processo de negociação sindical tendente à aprovação do enquadramento legal e regulamentar que concretize um novo modelo de avaliação do desempenho de docentes, produzindo efeitos a partir do início do próximo ano letivo».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70E1" w14:textId="77777777" w:rsidR="00BF1158" w:rsidRDefault="0053745A" w:rsidP="00BF1158">
    <w:pPr>
      <w:jc w:val="center"/>
      <w:rPr>
        <w:noProof/>
      </w:rPr>
    </w:pPr>
    <w:r>
      <w:rPr>
        <w:noProof/>
      </w:rPr>
      <w:drawing>
        <wp:inline distT="0" distB="0" distL="0" distR="0" wp14:anchorId="56B70409" wp14:editId="4622B2DF">
          <wp:extent cx="1266825" cy="476250"/>
          <wp:effectExtent l="0" t="0" r="9525" b="0"/>
          <wp:docPr id="3" name="Imagem 3" descr="logo_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ar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contrast="3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1DB95A4E" w14:textId="77777777" w:rsidR="00BF1158" w:rsidRPr="00BF1158" w:rsidRDefault="0089376B" w:rsidP="00BF1158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DIRE</w:t>
    </w:r>
    <w:r w:rsidR="00BF1158" w:rsidRPr="00BF1158">
      <w:rPr>
        <w:rFonts w:ascii="Arial" w:hAnsi="Arial" w:cs="Arial"/>
        <w:b/>
        <w:sz w:val="14"/>
      </w:rPr>
      <w:t>ÇÃO DE APOIO PARLAMENTAR</w:t>
    </w:r>
  </w:p>
  <w:p w14:paraId="6ACA31C2" w14:textId="77777777" w:rsidR="00BF1158" w:rsidRPr="00D8032E" w:rsidRDefault="00BF1158" w:rsidP="00D8032E">
    <w:pPr>
      <w:jc w:val="center"/>
      <w:rPr>
        <w:rFonts w:ascii="Arial" w:hAnsi="Arial" w:cs="Arial"/>
        <w:b/>
        <w:sz w:val="12"/>
      </w:rPr>
    </w:pPr>
    <w:r w:rsidRPr="00BF1158">
      <w:rPr>
        <w:rFonts w:ascii="Arial" w:hAnsi="Arial" w:cs="Arial"/>
        <w:b/>
        <w:sz w:val="12"/>
      </w:rPr>
      <w:t>DIVISÃO DE APOIO AO PLENÁRIO</w:t>
    </w:r>
  </w:p>
  <w:p w14:paraId="69E3CDFE" w14:textId="77777777" w:rsidR="00BF1158" w:rsidRDefault="00BF11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8"/>
    <w:rsid w:val="00016979"/>
    <w:rsid w:val="00044C87"/>
    <w:rsid w:val="000450E5"/>
    <w:rsid w:val="00055B7D"/>
    <w:rsid w:val="000633DE"/>
    <w:rsid w:val="000660BF"/>
    <w:rsid w:val="00085FAE"/>
    <w:rsid w:val="00094D16"/>
    <w:rsid w:val="000A6465"/>
    <w:rsid w:val="000A75A7"/>
    <w:rsid w:val="000B2120"/>
    <w:rsid w:val="000C5A22"/>
    <w:rsid w:val="000D15E1"/>
    <w:rsid w:val="000D4300"/>
    <w:rsid w:val="000F5264"/>
    <w:rsid w:val="001328D2"/>
    <w:rsid w:val="00134F94"/>
    <w:rsid w:val="00144D03"/>
    <w:rsid w:val="001500F8"/>
    <w:rsid w:val="001610D4"/>
    <w:rsid w:val="001648F3"/>
    <w:rsid w:val="00197D72"/>
    <w:rsid w:val="001A5F9F"/>
    <w:rsid w:val="001C1153"/>
    <w:rsid w:val="001C540E"/>
    <w:rsid w:val="002048B7"/>
    <w:rsid w:val="002048F5"/>
    <w:rsid w:val="002278D1"/>
    <w:rsid w:val="00240C2F"/>
    <w:rsid w:val="00247C73"/>
    <w:rsid w:val="0028273F"/>
    <w:rsid w:val="002863AE"/>
    <w:rsid w:val="002F0C0C"/>
    <w:rsid w:val="00306563"/>
    <w:rsid w:val="00322113"/>
    <w:rsid w:val="00332F82"/>
    <w:rsid w:val="00344EE3"/>
    <w:rsid w:val="00386040"/>
    <w:rsid w:val="00390D84"/>
    <w:rsid w:val="003A0ED6"/>
    <w:rsid w:val="003B5646"/>
    <w:rsid w:val="003D74D7"/>
    <w:rsid w:val="003E50AE"/>
    <w:rsid w:val="003F7082"/>
    <w:rsid w:val="00404F00"/>
    <w:rsid w:val="00405273"/>
    <w:rsid w:val="00440A70"/>
    <w:rsid w:val="00486353"/>
    <w:rsid w:val="004A2681"/>
    <w:rsid w:val="004A7A83"/>
    <w:rsid w:val="004B3CDE"/>
    <w:rsid w:val="004F7322"/>
    <w:rsid w:val="00501E38"/>
    <w:rsid w:val="00512EDD"/>
    <w:rsid w:val="005205D0"/>
    <w:rsid w:val="0053745A"/>
    <w:rsid w:val="005455EF"/>
    <w:rsid w:val="0055044F"/>
    <w:rsid w:val="005576E5"/>
    <w:rsid w:val="00566E72"/>
    <w:rsid w:val="005A1761"/>
    <w:rsid w:val="005D4C81"/>
    <w:rsid w:val="005E3AC3"/>
    <w:rsid w:val="005E3F26"/>
    <w:rsid w:val="00600A4B"/>
    <w:rsid w:val="00613CEE"/>
    <w:rsid w:val="006319A7"/>
    <w:rsid w:val="00641652"/>
    <w:rsid w:val="00680400"/>
    <w:rsid w:val="00685E50"/>
    <w:rsid w:val="006B796F"/>
    <w:rsid w:val="006D0780"/>
    <w:rsid w:val="006F0DF1"/>
    <w:rsid w:val="0072305A"/>
    <w:rsid w:val="007242E9"/>
    <w:rsid w:val="00733D88"/>
    <w:rsid w:val="00737F0B"/>
    <w:rsid w:val="007953E3"/>
    <w:rsid w:val="007A65E9"/>
    <w:rsid w:val="007A68F1"/>
    <w:rsid w:val="007A6DDC"/>
    <w:rsid w:val="007C5A79"/>
    <w:rsid w:val="007C61A1"/>
    <w:rsid w:val="007C7011"/>
    <w:rsid w:val="007E4DB9"/>
    <w:rsid w:val="0085766D"/>
    <w:rsid w:val="00865EDA"/>
    <w:rsid w:val="0087377E"/>
    <w:rsid w:val="0089376B"/>
    <w:rsid w:val="008970AF"/>
    <w:rsid w:val="008C7669"/>
    <w:rsid w:val="008D511B"/>
    <w:rsid w:val="008D5F78"/>
    <w:rsid w:val="008E4FF2"/>
    <w:rsid w:val="008F1428"/>
    <w:rsid w:val="0091704B"/>
    <w:rsid w:val="00921519"/>
    <w:rsid w:val="0094242E"/>
    <w:rsid w:val="00942A82"/>
    <w:rsid w:val="00954A64"/>
    <w:rsid w:val="00972211"/>
    <w:rsid w:val="00975DE0"/>
    <w:rsid w:val="00980247"/>
    <w:rsid w:val="009875CF"/>
    <w:rsid w:val="009B02CE"/>
    <w:rsid w:val="009B6C22"/>
    <w:rsid w:val="009C1D11"/>
    <w:rsid w:val="009E700D"/>
    <w:rsid w:val="00A01972"/>
    <w:rsid w:val="00A36EF6"/>
    <w:rsid w:val="00A57452"/>
    <w:rsid w:val="00A65A3A"/>
    <w:rsid w:val="00A65A68"/>
    <w:rsid w:val="00A7527A"/>
    <w:rsid w:val="00AB6D32"/>
    <w:rsid w:val="00AB6F37"/>
    <w:rsid w:val="00AE0960"/>
    <w:rsid w:val="00B070DD"/>
    <w:rsid w:val="00B165A5"/>
    <w:rsid w:val="00B47BCD"/>
    <w:rsid w:val="00B8194B"/>
    <w:rsid w:val="00B86590"/>
    <w:rsid w:val="00BA4DD6"/>
    <w:rsid w:val="00BC1E89"/>
    <w:rsid w:val="00BC4AB9"/>
    <w:rsid w:val="00BF1158"/>
    <w:rsid w:val="00BF3068"/>
    <w:rsid w:val="00C17F1A"/>
    <w:rsid w:val="00C231D0"/>
    <w:rsid w:val="00C76F76"/>
    <w:rsid w:val="00C80563"/>
    <w:rsid w:val="00CB54ED"/>
    <w:rsid w:val="00CD11E1"/>
    <w:rsid w:val="00CD72FC"/>
    <w:rsid w:val="00CD7895"/>
    <w:rsid w:val="00CE0C78"/>
    <w:rsid w:val="00CF6893"/>
    <w:rsid w:val="00D0740E"/>
    <w:rsid w:val="00D3051E"/>
    <w:rsid w:val="00D6197E"/>
    <w:rsid w:val="00D638A2"/>
    <w:rsid w:val="00D8032E"/>
    <w:rsid w:val="00D80ADC"/>
    <w:rsid w:val="00D85925"/>
    <w:rsid w:val="00D90FDF"/>
    <w:rsid w:val="00D9403D"/>
    <w:rsid w:val="00D96615"/>
    <w:rsid w:val="00DB440F"/>
    <w:rsid w:val="00DD53DF"/>
    <w:rsid w:val="00DE1D1C"/>
    <w:rsid w:val="00E050F2"/>
    <w:rsid w:val="00E06EAE"/>
    <w:rsid w:val="00E11A1A"/>
    <w:rsid w:val="00E25C01"/>
    <w:rsid w:val="00E25CB7"/>
    <w:rsid w:val="00E3027C"/>
    <w:rsid w:val="00E609EB"/>
    <w:rsid w:val="00E611B8"/>
    <w:rsid w:val="00E67ECD"/>
    <w:rsid w:val="00E74E2C"/>
    <w:rsid w:val="00E77EE3"/>
    <w:rsid w:val="00EB4FFD"/>
    <w:rsid w:val="00EB74C3"/>
    <w:rsid w:val="00ED1D4E"/>
    <w:rsid w:val="00F33A0E"/>
    <w:rsid w:val="00F6172E"/>
    <w:rsid w:val="00F623A0"/>
    <w:rsid w:val="00F92E6F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2B01E"/>
  <w15:chartTrackingRefBased/>
  <w15:docId w15:val="{AE465497-FD5A-4458-822D-A3853F20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E0C78"/>
    <w:rPr>
      <w:color w:val="0563C1" w:themeColor="hyperlink"/>
      <w:u w:val="single"/>
    </w:rPr>
  </w:style>
  <w:style w:type="character" w:customStyle="1" w:styleId="textoregular">
    <w:name w:val="textoregular"/>
    <w:basedOn w:val="Tipodeletrapredefinidodopargrafo"/>
    <w:rsid w:val="00CE0C78"/>
  </w:style>
  <w:style w:type="table" w:styleId="TabelacomGrelha">
    <w:name w:val="Table Grid"/>
    <w:basedOn w:val="Tabelanormal"/>
    <w:uiPriority w:val="59"/>
    <w:rsid w:val="00CE0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rsid w:val="00BF115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F115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F1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115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04F00"/>
    <w:rPr>
      <w:color w:val="80808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7C7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77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77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A64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A64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A646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A64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A6465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Estilo1">
    <w:name w:val="Estilo1"/>
    <w:basedOn w:val="Tipodeletrapredefinidodopargrafo"/>
    <w:uiPriority w:val="1"/>
    <w:rsid w:val="000A6465"/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4DB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A0197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A01972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01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pesquisa/-/search/287816/details/maximized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arlamento.pt/ActividadeParlamentar/Paginas/DetalheIniciativa.aspx?BID=1519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168D7-01B5-48EF-86BF-D10B5CC6C913}"/>
      </w:docPartPr>
      <w:docPartBody>
        <w:p w:rsidR="00396836" w:rsidRDefault="00460AC4">
          <w:r w:rsidRPr="00EA67DA">
            <w:rPr>
              <w:rStyle w:val="TextodoMarcadordePosio"/>
            </w:rPr>
            <w:t>Escolha um item.</w:t>
          </w:r>
        </w:p>
      </w:docPartBody>
    </w:docPart>
    <w:docPart>
      <w:docPartPr>
        <w:name w:val="AE762F967234485982605F9735E62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AD707-EEAC-4F11-9067-62B6920BAB8C}"/>
      </w:docPartPr>
      <w:docPartBody>
        <w:p w:rsidR="003A7AC7" w:rsidRDefault="00FC2629" w:rsidP="00FC2629">
          <w:pPr>
            <w:pStyle w:val="AE762F967234485982605F9735E628281"/>
          </w:pPr>
          <w:r w:rsidRPr="00404F00">
            <w:rPr>
              <w:rStyle w:val="TextodoMarcadordePosio"/>
              <w:rFonts w:ascii="Arial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7648F17C8DF24CC588AA4242EE7B1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3F9D2-2B25-48C7-AA85-4BC221199373}"/>
      </w:docPartPr>
      <w:docPartBody>
        <w:p w:rsidR="003A7AC7" w:rsidRDefault="00FC2629" w:rsidP="00FC2629">
          <w:pPr>
            <w:pStyle w:val="7648F17C8DF24CC588AA4242EE7B12861"/>
          </w:pPr>
          <w:r w:rsidRPr="00404F00">
            <w:rPr>
              <w:rStyle w:val="TextodoMarcadordePosio"/>
              <w:rFonts w:ascii="Arial" w:eastAsiaTheme="minorHAnsi" w:hAnsi="Arial" w:cs="Arial"/>
              <w:b/>
              <w:sz w:val="20"/>
              <w:szCs w:val="20"/>
            </w:rPr>
            <w:t>Escolha um item.</w:t>
          </w:r>
        </w:p>
      </w:docPartBody>
    </w:docPart>
    <w:docPart>
      <w:docPartPr>
        <w:name w:val="E6EE036215DF43E4A85F80D51ADD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1E98-0458-4241-8A67-35717003BD19}"/>
      </w:docPartPr>
      <w:docPartBody>
        <w:p w:rsidR="0007203F" w:rsidRDefault="00FC2629" w:rsidP="00FC2629">
          <w:pPr>
            <w:pStyle w:val="E6EE036215DF43E4A85F80D51ADD2FA3"/>
          </w:pPr>
          <w:r w:rsidRPr="00C91BEB">
            <w:rPr>
              <w:rStyle w:val="TextodoMarcadordePosio"/>
            </w:rPr>
            <w:t>Escolha um item.</w:t>
          </w:r>
        </w:p>
      </w:docPartBody>
    </w:docPart>
    <w:docPart>
      <w:docPartPr>
        <w:name w:val="083EF4A96FF942398A8FC71C6A8C0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C6E56-DC23-45B3-B8BF-85CBD2883C29}"/>
      </w:docPartPr>
      <w:docPartBody>
        <w:p w:rsidR="002E70B4" w:rsidRDefault="00942B2D" w:rsidP="00942B2D">
          <w:pPr>
            <w:pStyle w:val="083EF4A96FF942398A8FC71C6A8C016E"/>
          </w:pPr>
          <w:r w:rsidRPr="005576E5">
            <w:rPr>
              <w:rStyle w:val="TextodoMarcadordePosio"/>
              <w:rFonts w:ascii="Arial" w:hAnsi="Arial" w:cs="Arial"/>
              <w:sz w:val="20"/>
              <w:szCs w:val="20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C4"/>
    <w:rsid w:val="0001652F"/>
    <w:rsid w:val="00022D93"/>
    <w:rsid w:val="0007203F"/>
    <w:rsid w:val="0027798E"/>
    <w:rsid w:val="00286BE5"/>
    <w:rsid w:val="002A0F0D"/>
    <w:rsid w:val="002E70B4"/>
    <w:rsid w:val="00396836"/>
    <w:rsid w:val="003A7AC7"/>
    <w:rsid w:val="00460AC4"/>
    <w:rsid w:val="00474A94"/>
    <w:rsid w:val="004D5400"/>
    <w:rsid w:val="004E21EF"/>
    <w:rsid w:val="00520AEA"/>
    <w:rsid w:val="005C2EC9"/>
    <w:rsid w:val="006343D9"/>
    <w:rsid w:val="006731FD"/>
    <w:rsid w:val="006B51D7"/>
    <w:rsid w:val="007B2900"/>
    <w:rsid w:val="007E42E3"/>
    <w:rsid w:val="00814DCB"/>
    <w:rsid w:val="008D2E65"/>
    <w:rsid w:val="00942B2D"/>
    <w:rsid w:val="009A0DD3"/>
    <w:rsid w:val="00A201E4"/>
    <w:rsid w:val="00A3392B"/>
    <w:rsid w:val="00C505D5"/>
    <w:rsid w:val="00CD0DB4"/>
    <w:rsid w:val="00CE2BFF"/>
    <w:rsid w:val="00CF2585"/>
    <w:rsid w:val="00D74ABD"/>
    <w:rsid w:val="00ED6A9D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42B2D"/>
    <w:rPr>
      <w:color w:val="808080"/>
    </w:rPr>
  </w:style>
  <w:style w:type="paragraph" w:customStyle="1" w:styleId="7648F17C8DF24CC588AA4242EE7B12861">
    <w:name w:val="7648F17C8DF24CC588AA4242EE7B1286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2F967234485982605F9735E628281">
    <w:name w:val="AE762F967234485982605F9735E628281"/>
    <w:rsid w:val="00FC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E036215DF43E4A85F80D51ADD2FA3">
    <w:name w:val="E6EE036215DF43E4A85F80D51ADD2FA3"/>
    <w:rsid w:val="00FC2629"/>
  </w:style>
  <w:style w:type="paragraph" w:customStyle="1" w:styleId="083EF4A96FF942398A8FC71C6A8C016E">
    <w:name w:val="083EF4A96FF942398A8FC71C6A8C016E"/>
    <w:rsid w:val="00942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12a94b25e5689bc776ed2d992738fa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587cb8195befe120d41463f8e03a3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1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Notas Admissibilidade</TipoDocumento>
    <Legislatura xmlns="http://schemas.microsoft.com/sharepoint/v3">XV</Legislatura>
    <TipoIniciativa xmlns="http://schemas.microsoft.com/sharepoint/v3">J</TipoIniciativa>
    <DataDocumento xmlns="http://schemas.microsoft.com/sharepoint/v3">2022-09-19T23:00:00+00:00</DataDocumento>
    <NomeOriginalFicheiro xmlns="http://schemas.microsoft.com/sharepoint/v3">NA PJL 290-XV-1 (PAN).docx</NomeOriginalFicheiro>
    <IDFase xmlns="http://schemas.microsoft.com/sharepoint/v3">1319315</IDFase>
    <NRIniciativa xmlns="http://schemas.microsoft.com/sharepoint/v3">290</NRIniciativa>
    <IDIniciativa xmlns="http://schemas.microsoft.com/sharepoint/v3">151903</IDIniciativa>
  </documentManagement>
</p:properties>
</file>

<file path=customXml/itemProps1.xml><?xml version="1.0" encoding="utf-8"?>
<ds:datastoreItem xmlns:ds="http://schemas.openxmlformats.org/officeDocument/2006/customXml" ds:itemID="{32A220EC-6E9B-4B81-9145-4C198AD4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045C2-4F02-4366-B881-1D80C74469ED}"/>
</file>

<file path=customXml/itemProps3.xml><?xml version="1.0" encoding="utf-8"?>
<ds:datastoreItem xmlns:ds="http://schemas.openxmlformats.org/officeDocument/2006/customXml" ds:itemID="{CDF704FC-0C61-4291-A13F-1C17C194EFA6}"/>
</file>

<file path=customXml/itemProps4.xml><?xml version="1.0" encoding="utf-8"?>
<ds:datastoreItem xmlns:ds="http://schemas.openxmlformats.org/officeDocument/2006/customXml" ds:itemID="{C2B7DA96-EBAB-4ED7-A811-0CCFA47CC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Admissibilidade</dc:title>
  <dc:subject/>
  <dc:creator>Rafael Silva</dc:creator>
  <cp:keywords/>
  <dc:description/>
  <cp:lastModifiedBy>José Filipe Sousa</cp:lastModifiedBy>
  <cp:revision>2</cp:revision>
  <dcterms:created xsi:type="dcterms:W3CDTF">2022-09-19T10:24:00Z</dcterms:created>
  <dcterms:modified xsi:type="dcterms:W3CDTF">2022-09-19T10:24:00Z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1779747642">
    <vt:lpwstr>Projeto de Lei</vt:lpwstr>
  </property>
  <property fmtid="{D5CDD505-2E9C-101B-9397-08002B2CF9AE}" pid="3" name="_edoclink_CC_1937632089">
    <vt:lpwstr>Deputado Único Representante da Iniciativa Liberal (IL)</vt:lpwstr>
  </property>
  <property fmtid="{D5CDD505-2E9C-101B-9397-08002B2CF9AE}" pid="4" name="_edoclink_CC_474111213">
    <vt:lpwstr/>
  </property>
  <property fmtid="{D5CDD505-2E9C-101B-9397-08002B2CF9AE}" pid="5" name="_edoclink_CC_974410459">
    <vt:lpwstr/>
  </property>
  <property fmtid="{D5CDD505-2E9C-101B-9397-08002B2CF9AE}" pid="6" name="_edoclink_CC_456029345">
    <vt:lpwstr/>
  </property>
  <property fmtid="{D5CDD505-2E9C-101B-9397-08002B2CF9AE}" pid="7" name="_edoclink_DocumentConvertToPdf">
    <vt:lpwstr/>
  </property>
  <property fmtid="{D5CDD505-2E9C-101B-9397-08002B2CF9AE}" pid="8" name="ContentTypeId">
    <vt:lpwstr>0x01010023E375C1FBF74D42B2ACAE3B54768E1800BEE0710D68638A4EB5A41493C158F09D</vt:lpwstr>
  </property>
  <property fmtid="{D5CDD505-2E9C-101B-9397-08002B2CF9AE}" pid="9" name="Order">
    <vt:r8>175000</vt:r8>
  </property>
</Properties>
</file>