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3777" w14:textId="77777777" w:rsidR="00DD25CF" w:rsidRDefault="00DF77D0">
      <w:pPr>
        <w:tabs>
          <w:tab w:val="left" w:pos="709"/>
        </w:tabs>
        <w:spacing w:line="360" w:lineRule="auto"/>
        <w:jc w:val="center"/>
        <w:rPr>
          <w:i/>
        </w:rPr>
      </w:pPr>
      <w:r>
        <w:rPr>
          <w:i/>
          <w:noProof/>
        </w:rPr>
        <w:drawing>
          <wp:anchor distT="0" distB="0" distL="0" distR="0" simplePos="0" relativeHeight="5" behindDoc="0" locked="0" layoutInCell="1" allowOverlap="1" wp14:anchorId="0229BA71" wp14:editId="6A3D3BD2">
            <wp:simplePos x="0" y="0"/>
            <wp:positionH relativeFrom="column">
              <wp:posOffset>2014220</wp:posOffset>
            </wp:positionH>
            <wp:positionV relativeFrom="paragraph">
              <wp:posOffset>-717550</wp:posOffset>
            </wp:positionV>
            <wp:extent cx="1311910" cy="847725"/>
            <wp:effectExtent l="0" t="0" r="2540" b="9525"/>
            <wp:wrapNone/>
            <wp:docPr id="1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887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F92EC" w14:textId="77777777" w:rsidR="00DD25CF" w:rsidRDefault="00DF77D0">
      <w:pPr>
        <w:tabs>
          <w:tab w:val="left" w:pos="709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>Grupo Parlamentar</w:t>
      </w:r>
    </w:p>
    <w:p w14:paraId="52640E2C" w14:textId="77777777" w:rsidR="00DD25CF" w:rsidRDefault="00DD25CF" w:rsidP="00B62965">
      <w:pPr>
        <w:pStyle w:val="Padro"/>
        <w:spacing w:before="120" w:line="360" w:lineRule="auto"/>
        <w:ind w:firstLine="709"/>
        <w:jc w:val="center"/>
        <w:rPr>
          <w:rFonts w:ascii="Cambria" w:hAnsi="Cambria"/>
          <w:b/>
          <w:bCs/>
          <w:sz w:val="28"/>
        </w:rPr>
      </w:pPr>
    </w:p>
    <w:p w14:paraId="63809A4B" w14:textId="22D78D70" w:rsidR="00DD25CF" w:rsidRDefault="00DF77D0" w:rsidP="00B62965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PROJETO DE RESOLUÇÃO Nº</w:t>
      </w:r>
      <w:r w:rsidR="00071219">
        <w:rPr>
          <w:rFonts w:ascii="Cambria" w:hAnsi="Cambria"/>
          <w:b/>
          <w:sz w:val="28"/>
          <w:szCs w:val="24"/>
        </w:rPr>
        <w:t xml:space="preserve"> </w:t>
      </w:r>
      <w:r w:rsidR="001B1212">
        <w:rPr>
          <w:rFonts w:ascii="Cambria" w:hAnsi="Cambria"/>
          <w:b/>
          <w:sz w:val="28"/>
          <w:szCs w:val="24"/>
        </w:rPr>
        <w:t>653</w:t>
      </w:r>
      <w:r>
        <w:rPr>
          <w:rFonts w:ascii="Cambria" w:hAnsi="Cambria"/>
          <w:b/>
          <w:sz w:val="28"/>
          <w:szCs w:val="24"/>
        </w:rPr>
        <w:t>/XV/1ª</w:t>
      </w:r>
    </w:p>
    <w:p w14:paraId="7FC44408" w14:textId="77777777" w:rsidR="00AD67EA" w:rsidRDefault="00AD67EA" w:rsidP="00B62965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</w:p>
    <w:p w14:paraId="57AC0B68" w14:textId="1E6D85A5" w:rsidR="00DD25CF" w:rsidRDefault="00AD67EA" w:rsidP="00B62965">
      <w:pPr>
        <w:spacing w:before="120" w:line="360" w:lineRule="auto"/>
        <w:jc w:val="center"/>
      </w:pPr>
      <w:r>
        <w:rPr>
          <w:rFonts w:ascii="Cambria" w:hAnsi="Cambria"/>
          <w:b/>
          <w:sz w:val="28"/>
          <w:szCs w:val="24"/>
        </w:rPr>
        <w:t>COMPARTICIPAÇÃO DE TERAPÊUTICA INOVADORA PARA PESSOAS COM CANCRO DA MAMA TRIPLO NEGATIVO</w:t>
      </w:r>
    </w:p>
    <w:p w14:paraId="7E3E7EA7" w14:textId="77777777" w:rsidR="00DD25CF" w:rsidRDefault="00DD25CF" w:rsidP="00B62965">
      <w:pPr>
        <w:spacing w:before="12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49B7206" w14:textId="5AFEADAE" w:rsidR="00AD67EA" w:rsidRPr="00AD67EA" w:rsidRDefault="00AD67EA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>Cerca de 30 mil pessoas uniram-se numa petição para reclamar o acesso a um fármaco que, em combinação com outras terapias, mostra ter um efeito potenciador do tratamento, melhorar significativamente o prognóstico a curto e médio prazo e evitar recidivas</w:t>
      </w:r>
      <w:r w:rsidR="00ED1244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no caso de cancro da mama triplo-negativo.</w:t>
      </w:r>
    </w:p>
    <w:p w14:paraId="3D07AFC2" w14:textId="385E5944" w:rsidR="008C49C6" w:rsidRDefault="00EE0346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Fizeram-no porque a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>pesar d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e todos os benefícios que dele podem advir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e apesar de tal fármaco ter sido aprovado pela Agência Europeia há cerca de 1 ano, 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o mesmo continuava 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a não ser autorizado pelo </w:t>
      </w:r>
      <w:proofErr w:type="spellStart"/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(portanto, continua</w:t>
      </w:r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>va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a não ser nem disponibilizado nem comparticipado pelo SNS)</w:t>
      </w:r>
      <w:r w:rsidR="00ED1244">
        <w:rPr>
          <w:rFonts w:asciiTheme="majorHAnsi" w:eastAsia="Times-Roman" w:hAnsiTheme="majorHAnsi" w:cs="Arial"/>
          <w:color w:val="000000" w:themeColor="text1"/>
          <w:sz w:val="24"/>
          <w:szCs w:val="24"/>
        </w:rPr>
        <w:t>.</w:t>
      </w:r>
    </w:p>
    <w:p w14:paraId="0197CCD7" w14:textId="3DD27489" w:rsidR="008C49C6" w:rsidRDefault="00E04F82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Ainda</w:t>
      </w:r>
      <w:r w:rsidR="00EE034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</w:t>
      </w:r>
      <w:r w:rsidR="00ED1244">
        <w:rPr>
          <w:rFonts w:asciiTheme="majorHAnsi" w:eastAsia="Times-Roman" w:hAnsiTheme="majorHAnsi" w:cs="Arial"/>
          <w:color w:val="000000" w:themeColor="text1"/>
          <w:sz w:val="24"/>
          <w:szCs w:val="24"/>
        </w:rPr>
        <w:t>no ano passado</w:t>
      </w:r>
      <w:r w:rsidR="0082203E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o </w:t>
      </w:r>
      <w:proofErr w:type="spellStart"/>
      <w:r w:rsidR="0082203E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82203E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recusou um PAP (P</w:t>
      </w:r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>rograma</w:t>
      </w:r>
      <w:r w:rsidR="0082203E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de Acesso Precoce)</w:t>
      </w:r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</w:t>
      </w:r>
      <w:r w:rsidR="00ED1244">
        <w:rPr>
          <w:rFonts w:asciiTheme="majorHAnsi" w:eastAsia="Times-Roman" w:hAnsiTheme="majorHAnsi" w:cs="Arial"/>
          <w:color w:val="000000" w:themeColor="text1"/>
          <w:sz w:val="24"/>
          <w:szCs w:val="24"/>
        </w:rPr>
        <w:t>para o</w:t>
      </w:r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>pembrolizumab</w:t>
      </w:r>
      <w:proofErr w:type="spellEnd"/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(denominação comum internacional) como coadjuvante</w:t>
      </w:r>
      <w:r w:rsidR="00497C42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e </w:t>
      </w:r>
      <w:proofErr w:type="spellStart"/>
      <w:r w:rsidR="00497C42">
        <w:rPr>
          <w:rFonts w:asciiTheme="majorHAnsi" w:eastAsia="Times-Roman" w:hAnsiTheme="majorHAnsi" w:cs="Arial"/>
          <w:color w:val="000000" w:themeColor="text1"/>
          <w:sz w:val="24"/>
          <w:szCs w:val="24"/>
        </w:rPr>
        <w:t>monoterapia</w:t>
      </w:r>
      <w:proofErr w:type="spellEnd"/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para o tratamento de cancro da mama triplo negativo. Dizia o </w:t>
      </w:r>
      <w:proofErr w:type="spellStart"/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nessa altura: </w:t>
      </w:r>
      <w:r w:rsidR="008C49C6">
        <w:rPr>
          <w:rFonts w:asciiTheme="majorHAnsi" w:eastAsia="Times-Roman" w:hAnsiTheme="majorHAnsi" w:cs="Arial"/>
          <w:i/>
          <w:iCs/>
          <w:color w:val="000000" w:themeColor="text1"/>
          <w:sz w:val="24"/>
          <w:szCs w:val="24"/>
        </w:rPr>
        <w:t>“considera-se que a situação clínica em que é proposta a utilização do fármaco não se inscreve no quadro legal para o qual foi criada a exceção contemplada pelo artigo 25.º do Decreto-Lei n.º 97/2015, de 1 de junho, na sua atual redação, uma vez que não se considera cumprido o requisito legal de ausência de alternativa terapêutica e risco imediato de vida ou de sofrer complicações graves”</w:t>
      </w:r>
      <w:r w:rsidR="008C49C6">
        <w:rPr>
          <w:rFonts w:asciiTheme="majorHAnsi" w:eastAsia="Times-Roman" w:hAnsiTheme="majorHAnsi" w:cs="Arial"/>
          <w:color w:val="000000" w:themeColor="text1"/>
          <w:sz w:val="24"/>
          <w:szCs w:val="24"/>
        </w:rPr>
        <w:t>.</w:t>
      </w:r>
    </w:p>
    <w:p w14:paraId="0407A808" w14:textId="3B1F3CBE" w:rsidR="008C49C6" w:rsidRPr="008C49C6" w:rsidRDefault="008C49C6" w:rsidP="00B62965">
      <w:pPr>
        <w:spacing w:before="120" w:line="360" w:lineRule="auto"/>
        <w:jc w:val="both"/>
        <w:rPr>
          <w:rFonts w:ascii="Roboto" w:hAnsi="Roboto"/>
          <w:color w:val="1A1A1A"/>
          <w:sz w:val="27"/>
          <w:szCs w:val="27"/>
          <w:shd w:val="clear" w:color="auto" w:fill="F3F3F3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A justificação para o indeferimento é incompreensível</w:t>
      </w:r>
      <w:r w:rsidR="00E04F82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. Em primeiro lugar porque não há alternativa terapêutica em termos de prognóstico; em segundo lugar, porque há efetivamente o risco de complicações graves e de diminuição significativa da sobrevida. </w:t>
      </w:r>
    </w:p>
    <w:p w14:paraId="3A5B0120" w14:textId="0B1E2F73" w:rsidR="00AD67EA" w:rsidRPr="00AD67EA" w:rsidRDefault="00E04F82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Facto é que por 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>causa desta não autorização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muitas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mulheres em Portugal poderiam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ter tido 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acesso a um tratamento que aumenta a probabilidade de sobrevivência, melhora o seu prognóstico e reduz as recidivas, 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mas não o tiveram. 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No Serviço Nacional de Saúde 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lastRenderedPageBreak/>
        <w:t>não encontra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ra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>m esse tratamento e fora do SNS o valor pedido é milionário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e simplesmente inacessível.</w:t>
      </w:r>
    </w:p>
    <w:p w14:paraId="5046F846" w14:textId="3B155D44" w:rsidR="00AD67EA" w:rsidRPr="00AD67EA" w:rsidRDefault="00E04F82" w:rsidP="00B62965">
      <w:pPr>
        <w:spacing w:before="120" w:line="360" w:lineRule="auto"/>
        <w:jc w:val="both"/>
        <w:rPr>
          <w:rFonts w:asciiTheme="majorHAnsi" w:eastAsia="Times-Roman" w:hAnsiTheme="majorHAnsi" w:cs="Arial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Foram, aliás,</w:t>
      </w:r>
      <w:r w:rsidR="00AD67EA" w:rsidRPr="00AD67E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tornados públicos alguns casos que ilustram o drama de quem, enfrentando uma doença muito grave, não consegue ter acesso à terapêutica mais indicada. Uma destas mulheres hipotecou a sua casa para poder pagar os 100 mil euros que lhe pediram, fora do SNS, para aceder a tal tratamento. Outra procurou e está a ter tratamento em Madrid, </w:t>
      </w:r>
      <w:r w:rsidR="00AD67EA" w:rsidRPr="00AD67EA">
        <w:rPr>
          <w:rFonts w:asciiTheme="majorHAnsi" w:eastAsia="Times-Roman" w:hAnsiTheme="majorHAnsi" w:cs="Arial"/>
          <w:sz w:val="24"/>
          <w:szCs w:val="24"/>
        </w:rPr>
        <w:t xml:space="preserve">sendo obrigada a viagens constantes antes e depois de sessões. Outras ainda não conseguem sequer aceder a tratamento porque os custos, pagos do próprio bolso, são incomportáveis. </w:t>
      </w:r>
    </w:p>
    <w:p w14:paraId="698049C1" w14:textId="4EB964AD" w:rsidR="00154857" w:rsidRDefault="00E04F82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sz w:val="24"/>
          <w:szCs w:val="24"/>
        </w:rPr>
        <w:t xml:space="preserve">Face à persistência dos milhares de peticionárias e peticionários que decidiram lutar pelo seu direito de acesso à saúde no SNS e face à denúncia pública da situação o </w:t>
      </w:r>
      <w:proofErr w:type="spellStart"/>
      <w:r>
        <w:rPr>
          <w:rFonts w:asciiTheme="majorHAnsi" w:eastAsia="Times-Roman" w:hAnsiTheme="majorHAnsi" w:cs="Arial"/>
          <w:sz w:val="24"/>
          <w:szCs w:val="24"/>
        </w:rPr>
        <w:t>Infarmed</w:t>
      </w:r>
      <w:proofErr w:type="spellEnd"/>
      <w:r>
        <w:rPr>
          <w:rFonts w:asciiTheme="majorHAnsi" w:eastAsia="Times-Roman" w:hAnsiTheme="majorHAnsi" w:cs="Arial"/>
          <w:sz w:val="24"/>
          <w:szCs w:val="24"/>
        </w:rPr>
        <w:t xml:space="preserve"> parece ter revisto e corrigido a sua posição. Em abril deste ano</w:t>
      </w:r>
      <w:r w:rsidR="00154857">
        <w:rPr>
          <w:rFonts w:asciiTheme="majorHAnsi" w:eastAsia="Times-Roman" w:hAnsiTheme="majorHAnsi" w:cs="Arial"/>
          <w:sz w:val="24"/>
          <w:szCs w:val="24"/>
        </w:rPr>
        <w:t xml:space="preserve"> acabou por deferir um novo pedido de PAP para a utilização de </w:t>
      </w:r>
      <w:proofErr w:type="spellStart"/>
      <w:r w:rsidR="00154857">
        <w:rPr>
          <w:rFonts w:asciiTheme="majorHAnsi" w:eastAsia="Times-Roman" w:hAnsiTheme="majorHAnsi" w:cs="Arial"/>
          <w:color w:val="000000" w:themeColor="text1"/>
          <w:sz w:val="24"/>
          <w:szCs w:val="24"/>
        </w:rPr>
        <w:t>pembrolizumab</w:t>
      </w:r>
      <w:proofErr w:type="spellEnd"/>
      <w:r w:rsidR="00154857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“em combinação com quimioterapia como tratamento neoadjuvante e, de seguida, continuado em </w:t>
      </w:r>
      <w:proofErr w:type="spellStart"/>
      <w:r w:rsidR="00154857">
        <w:rPr>
          <w:rFonts w:asciiTheme="majorHAnsi" w:eastAsia="Times-Roman" w:hAnsiTheme="majorHAnsi" w:cs="Arial"/>
          <w:color w:val="000000" w:themeColor="text1"/>
          <w:sz w:val="24"/>
          <w:szCs w:val="24"/>
        </w:rPr>
        <w:t>monoterapia</w:t>
      </w:r>
      <w:proofErr w:type="spellEnd"/>
      <w:r w:rsidR="00154857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como tratamento adjuvante após cirurgia”, considerando indicado para “o tratamento de adultos com cancro da mama triplo-negativo localmente avançado ou em </w:t>
      </w:r>
      <w:r w:rsidR="009A1047">
        <w:rPr>
          <w:rFonts w:asciiTheme="majorHAnsi" w:eastAsia="Times-Roman" w:hAnsiTheme="majorHAnsi" w:cs="Arial"/>
          <w:color w:val="000000" w:themeColor="text1"/>
          <w:sz w:val="24"/>
          <w:szCs w:val="24"/>
        </w:rPr>
        <w:t>estádio</w:t>
      </w:r>
      <w:r w:rsidR="00154857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precoce com elevado risco de recorrência”. </w:t>
      </w:r>
    </w:p>
    <w:p w14:paraId="08583F10" w14:textId="77777777" w:rsidR="00630AA1" w:rsidRPr="00AD67EA" w:rsidRDefault="00630AA1" w:rsidP="00B62965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D67EA">
        <w:rPr>
          <w:rFonts w:asciiTheme="majorHAnsi" w:hAnsiTheme="majorHAnsi" w:cs="Arial"/>
          <w:sz w:val="24"/>
          <w:szCs w:val="24"/>
        </w:rPr>
        <w:t xml:space="preserve">Não têm sido raros os casos de longas demoras para introdução de inovação terapêutica em Portugal.  Esse é um facto conhecido e apontado em relatórios nacionais e internacionais que, para além de sublinhar o tempo que se demora a disponibilizar terapêuticas no nosso país, também sublinham a gestão política e orçamental que muitas vezes estão por trás de tais demoradas e decisões de não autorização e de não comparticipação. </w:t>
      </w:r>
    </w:p>
    <w:p w14:paraId="3C77F984" w14:textId="77777777" w:rsidR="00630AA1" w:rsidRPr="00AD67EA" w:rsidRDefault="00630AA1" w:rsidP="00B62965">
      <w:pPr>
        <w:spacing w:before="120" w:line="360" w:lineRule="auto"/>
        <w:jc w:val="both"/>
        <w:rPr>
          <w:rFonts w:asciiTheme="majorHAnsi" w:eastAsia="Times-Roman" w:hAnsiTheme="majorHAnsi" w:cs="Arial"/>
          <w:sz w:val="24"/>
          <w:szCs w:val="24"/>
        </w:rPr>
      </w:pPr>
      <w:r w:rsidRPr="00AD67EA">
        <w:rPr>
          <w:rFonts w:asciiTheme="majorHAnsi" w:hAnsiTheme="majorHAnsi" w:cs="Arial"/>
          <w:sz w:val="24"/>
          <w:szCs w:val="24"/>
        </w:rPr>
        <w:t>Tal não é aceitável e não pode ser nem regra nem exceção. Os utentes do SNS têm de ter acesso aos fármacos e tratamentos que lhes são mais indicados. Essa deve ser uma responsabilidade do Estado e da sociedade e um direito de todos os utentes. Situações de negação de terapêuticas que podem comprometer a sobrevivência, o prognóstico e a qualidade de vida são simplesmente inaceitáveis.</w:t>
      </w:r>
    </w:p>
    <w:p w14:paraId="4911DB6A" w14:textId="552756A7" w:rsidR="00D4663A" w:rsidRDefault="00ED1244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O abandono da posição anterior, de bloqueio ao acesso a esta terapêutica, foi finalmente conseguido. No entanto, a disponibilidade e utilização deste fármaco não pode ficar dependente de constantes e permanentes autorizações que dependem do momento, da exposição dos casos e da pressão social e política. </w:t>
      </w:r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Acresce que continua a existir casos </w:t>
      </w:r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lastRenderedPageBreak/>
        <w:t xml:space="preserve">excluídos do acesso por não serem abrangidos pelo âmbito do PAP agora deferido pelo </w:t>
      </w:r>
      <w:proofErr w:type="spellStart"/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. São casos com critério e indicação clínica para este tipo de tratamento, mas que continuam a aguardar autorizações por parte do </w:t>
      </w:r>
      <w:proofErr w:type="spellStart"/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D4663A">
        <w:rPr>
          <w:rFonts w:asciiTheme="majorHAnsi" w:eastAsia="Times-Roman" w:hAnsiTheme="majorHAnsi" w:cs="Arial"/>
          <w:color w:val="000000" w:themeColor="text1"/>
          <w:sz w:val="24"/>
          <w:szCs w:val="24"/>
        </w:rPr>
        <w:t>.</w:t>
      </w:r>
    </w:p>
    <w:p w14:paraId="149104D0" w14:textId="571483D1" w:rsidR="00ED1244" w:rsidRDefault="00ED1244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O acesso,</w:t>
      </w:r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disponibilidade e utilização de tal fármaco deve ficar dependente do critério clínico. O </w:t>
      </w:r>
      <w:proofErr w:type="spellStart"/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>Infarmed</w:t>
      </w:r>
      <w:proofErr w:type="spellEnd"/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>, que há um ano não via qualquer vantagem nesta terapêutica e que agora a autoriza para 50 doentes, não pode agora dizer que a mesma não é eficaz nem necessária. Ora, se é eficaz e necessária, então tem de estar disponível para todas as pessoas que dela necessitem e que dela possam beneficiar, mediante decisão clínica.</w:t>
      </w:r>
    </w:p>
    <w:p w14:paraId="2254F706" w14:textId="5D290B52" w:rsidR="00630AA1" w:rsidRDefault="00630AA1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Assim, o que se propõe com a atual iniciativa legislativa é que esta terapêutica seja disponibilizada e comparticipada pelo SNS para todos os doentes que dela possam beneficiar e para as quais exista critério e decisão clínica positiva.</w:t>
      </w:r>
    </w:p>
    <w:p w14:paraId="53AED198" w14:textId="77777777" w:rsidR="00DD25CF" w:rsidRDefault="00DF77D0" w:rsidP="00B62965">
      <w:pPr>
        <w:spacing w:before="120" w:line="360" w:lineRule="auto"/>
        <w:jc w:val="both"/>
        <w:rPr>
          <w:rFonts w:ascii="Cambria" w:hAnsi="Cambria"/>
          <w:i/>
          <w:sz w:val="24"/>
          <w:szCs w:val="24"/>
        </w:rPr>
      </w:pPr>
      <w:r w:rsidRPr="00AD67EA">
        <w:rPr>
          <w:rFonts w:asciiTheme="majorHAnsi" w:hAnsiTheme="majorHAnsi"/>
          <w:i/>
          <w:sz w:val="24"/>
          <w:szCs w:val="24"/>
        </w:rPr>
        <w:t>Ao abrigo das disposições constitucionais e regimentais</w:t>
      </w:r>
      <w:r>
        <w:rPr>
          <w:rFonts w:ascii="Cambria" w:hAnsi="Cambria"/>
          <w:i/>
          <w:sz w:val="24"/>
          <w:szCs w:val="24"/>
        </w:rPr>
        <w:t xml:space="preserve"> aplicáveis, o Grupo Parlamentar do Bloco de Esquerda propõe que a Assembleia da República recomende ao Governo que:</w:t>
      </w:r>
    </w:p>
    <w:p w14:paraId="55DCCF10" w14:textId="6231A1B5" w:rsidR="002D0594" w:rsidRDefault="00B62965" w:rsidP="00B62965">
      <w:pPr>
        <w:spacing w:before="120" w:line="360" w:lineRule="auto"/>
        <w:jc w:val="both"/>
        <w:rPr>
          <w:rFonts w:asciiTheme="majorHAnsi" w:eastAsia="Times-Roman" w:hAnsiTheme="majorHAnsi" w:cs="Arial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630AA1">
        <w:rPr>
          <w:rFonts w:ascii="Cambria" w:hAnsi="Cambria"/>
          <w:sz w:val="24"/>
          <w:szCs w:val="24"/>
        </w:rPr>
        <w:t xml:space="preserve">Em conjunto com o </w:t>
      </w:r>
      <w:proofErr w:type="spellStart"/>
      <w:r w:rsidR="00630AA1">
        <w:rPr>
          <w:rFonts w:ascii="Cambria" w:hAnsi="Cambria"/>
          <w:sz w:val="24"/>
          <w:szCs w:val="24"/>
        </w:rPr>
        <w:t>Infarmed</w:t>
      </w:r>
      <w:proofErr w:type="spellEnd"/>
      <w:r w:rsidR="00630AA1">
        <w:rPr>
          <w:rFonts w:ascii="Cambria" w:hAnsi="Cambria"/>
          <w:sz w:val="24"/>
          <w:szCs w:val="24"/>
        </w:rPr>
        <w:t xml:space="preserve">, garanta o acesso, disponibilidade e utilização do </w:t>
      </w:r>
      <w:proofErr w:type="spellStart"/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>pembrolizumab</w:t>
      </w:r>
      <w:proofErr w:type="spellEnd"/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para situações de cancro da mama triplo-negativo</w:t>
      </w:r>
      <w:r>
        <w:rPr>
          <w:rFonts w:asciiTheme="majorHAnsi" w:eastAsia="Times-Roman" w:hAnsiTheme="majorHAnsi" w:cs="Arial"/>
          <w:color w:val="000000" w:themeColor="text1"/>
          <w:sz w:val="24"/>
          <w:szCs w:val="24"/>
        </w:rPr>
        <w:t>,</w:t>
      </w:r>
      <w:r w:rsidR="00630AA1">
        <w:rPr>
          <w:rFonts w:asciiTheme="majorHAnsi" w:eastAsia="Times-Roman" w:hAnsiTheme="majorHAnsi" w:cs="Arial"/>
          <w:color w:val="000000" w:themeColor="text1"/>
          <w:sz w:val="24"/>
          <w:szCs w:val="24"/>
        </w:rPr>
        <w:t xml:space="preserve"> sempre que exista critério e indicação clínica para tal.</w:t>
      </w:r>
    </w:p>
    <w:p w14:paraId="58CF7534" w14:textId="77777777" w:rsidR="00B62965" w:rsidRDefault="00B62965" w:rsidP="00B62965">
      <w:pPr>
        <w:spacing w:before="120" w:line="360" w:lineRule="auto"/>
        <w:jc w:val="both"/>
      </w:pPr>
    </w:p>
    <w:p w14:paraId="45FC3601" w14:textId="280B41E1" w:rsidR="00DD25CF" w:rsidRDefault="00DF77D0" w:rsidP="00B62965">
      <w:pPr>
        <w:spacing w:before="120" w:line="360" w:lineRule="auto"/>
        <w:jc w:val="center"/>
      </w:pPr>
      <w:r>
        <w:rPr>
          <w:rFonts w:ascii="Cambria" w:hAnsi="Cambria"/>
          <w:sz w:val="24"/>
          <w:szCs w:val="24"/>
        </w:rPr>
        <w:t xml:space="preserve">Assembleia da República, </w:t>
      </w:r>
      <w:r w:rsidR="001F2097">
        <w:rPr>
          <w:rFonts w:ascii="Cambria" w:hAnsi="Cambria"/>
          <w:sz w:val="24"/>
          <w:szCs w:val="24"/>
        </w:rPr>
        <w:t>26</w:t>
      </w:r>
      <w:r w:rsidR="002D0594">
        <w:rPr>
          <w:rFonts w:ascii="Cambria" w:hAnsi="Cambria"/>
          <w:sz w:val="24"/>
          <w:szCs w:val="24"/>
        </w:rPr>
        <w:t xml:space="preserve"> de abril de 2023</w:t>
      </w:r>
    </w:p>
    <w:p w14:paraId="319D7F4F" w14:textId="3E18B3D7" w:rsidR="00DD25CF" w:rsidRDefault="00DF77D0" w:rsidP="00B62965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Deputadas e os Deputados do Bloco de Esquerda,</w:t>
      </w:r>
    </w:p>
    <w:p w14:paraId="54B81665" w14:textId="354011FC" w:rsidR="00B62965" w:rsidRDefault="00B62965" w:rsidP="00B62965">
      <w:pPr>
        <w:spacing w:before="120" w:line="360" w:lineRule="auto"/>
        <w:rPr>
          <w:rFonts w:ascii="Cambria" w:hAnsi="Cambria"/>
          <w:sz w:val="24"/>
          <w:szCs w:val="24"/>
        </w:rPr>
      </w:pPr>
    </w:p>
    <w:p w14:paraId="0C0F3399" w14:textId="77777777" w:rsidR="00B62965" w:rsidRDefault="00B62965" w:rsidP="00B62965">
      <w:pPr>
        <w:spacing w:line="360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Catarina Martins; P</w:t>
      </w:r>
      <w:r w:rsidRPr="00C61117">
        <w:rPr>
          <w:rFonts w:ascii="Cambria" w:eastAsia="Calibri" w:hAnsi="Cambria"/>
          <w:sz w:val="24"/>
          <w:szCs w:val="24"/>
          <w:lang w:eastAsia="en-US"/>
        </w:rPr>
        <w:t>edro Filipe Soares; Mariana Mortágua</w:t>
      </w:r>
      <w:r>
        <w:rPr>
          <w:rFonts w:ascii="Cambria" w:eastAsia="Calibri" w:hAnsi="Cambria"/>
          <w:sz w:val="24"/>
          <w:szCs w:val="24"/>
          <w:lang w:eastAsia="en-US"/>
        </w:rPr>
        <w:t xml:space="preserve">; </w:t>
      </w:r>
    </w:p>
    <w:p w14:paraId="3E3B2908" w14:textId="77777777" w:rsidR="00B62965" w:rsidRDefault="00B62965" w:rsidP="00B62965">
      <w:pPr>
        <w:spacing w:line="360" w:lineRule="auto"/>
        <w:jc w:val="center"/>
        <w:rPr>
          <w:noProof/>
        </w:rPr>
        <w:sectPr w:rsidR="00B62965" w:rsidSect="00C7690C">
          <w:footerReference w:type="default" r:id="rId10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>
        <w:rPr>
          <w:rFonts w:ascii="Cambria" w:eastAsia="Calibri" w:hAnsi="Cambria"/>
          <w:sz w:val="24"/>
          <w:szCs w:val="24"/>
          <w:lang w:eastAsia="en-US"/>
        </w:rPr>
        <w:t xml:space="preserve">Isabel Pires; Joana Mortágua </w:t>
      </w:r>
    </w:p>
    <w:p w14:paraId="75FEBC99" w14:textId="77777777" w:rsidR="00B62965" w:rsidRDefault="00B62965" w:rsidP="00B62965">
      <w:pPr>
        <w:spacing w:before="120" w:line="360" w:lineRule="auto"/>
      </w:pPr>
    </w:p>
    <w:sectPr w:rsidR="00B62965" w:rsidSect="00230D9D"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9452" w14:textId="77777777" w:rsidR="00CA221B" w:rsidRDefault="00CA221B">
      <w:r>
        <w:separator/>
      </w:r>
    </w:p>
  </w:endnote>
  <w:endnote w:type="continuationSeparator" w:id="0">
    <w:p w14:paraId="5E034AF1" w14:textId="77777777" w:rsidR="00CA221B" w:rsidRDefault="00CA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CEAE" w14:textId="77777777" w:rsidR="00B62965" w:rsidRDefault="00B62965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</w:t>
    </w:r>
  </w:p>
  <w:p w14:paraId="034EBB7C" w14:textId="77777777" w:rsidR="00B62965" w:rsidRPr="00980180" w:rsidRDefault="00B62965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</w:t>
    </w:r>
    <w:r>
      <w:rPr>
        <w:rFonts w:ascii="Calibri" w:hAnsi="Calibri" w:cs="Calibri"/>
        <w:color w:val="D3454F"/>
        <w:sz w:val="18"/>
        <w:lang w:val="en-US"/>
      </w:rPr>
      <w:t>parlamento.bloco.org</w:t>
    </w:r>
    <w:r w:rsidRPr="00980180">
      <w:rPr>
        <w:rFonts w:ascii="Calibri" w:hAnsi="Calibri" w:cs="Calibri"/>
        <w:color w:val="D3454F"/>
        <w:sz w:val="18"/>
        <w:lang w:val="en-US"/>
      </w:rPr>
      <w:t>/</w:t>
    </w:r>
    <w:r w:rsidRPr="008B31DA">
      <w:rPr>
        <w:rFonts w:ascii="Cambria" w:hAnsi="Cambria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78420" wp14:editId="01B4A575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Fluxograma: Proces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F770" w14:textId="77777777" w:rsidR="00B62965" w:rsidRPr="00980180" w:rsidRDefault="00B62965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7842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3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" filled="f" fillcolor="#4f81bd" stroked="f" strokecolor="#737373">
              <v:textbox>
                <w:txbxContent>
                  <w:p w14:paraId="7EA1F770" w14:textId="77777777" w:rsidR="00B62965" w:rsidRPr="00980180" w:rsidRDefault="00B62965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0BAA" w14:textId="0FDA18E9" w:rsidR="00DD25CF" w:rsidRDefault="00DF77D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color w:val="D3454F"/>
        <w:sz w:val="18"/>
      </w:rPr>
      <w:t>Assembleia da República - Palácio de S. Bento - 1249-068 Lisboa - Telefone: 21 391 7592</w:t>
    </w:r>
  </w:p>
  <w:p w14:paraId="0BA832C1" w14:textId="3F9DFCD8" w:rsidR="00DD25CF" w:rsidRDefault="00DF77D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683A69" wp14:editId="5495C0C9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4985" cy="443865"/>
              <wp:effectExtent l="0" t="0" r="0" b="0"/>
              <wp:wrapNone/>
              <wp:docPr id="2" name="Image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44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11B56A" w14:textId="77777777" w:rsidR="00DD25CF" w:rsidRDefault="00DF77D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7683A69" id="Imagem1" o:spid="_x0000_s1026" style="position:absolute;left:0;text-align:left;margin-left:539.65pt;margin-top:795.35pt;width:40.55pt;height:34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" filled="f" stroked="f">
              <v:textbox>
                <w:txbxContent>
                  <w:p w14:paraId="1011B56A" w14:textId="77777777" w:rsidR="00DD25CF" w:rsidRDefault="00DF77D0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color w:val="D3454F"/>
        <w:sz w:val="18"/>
        <w:lang w:val="en-US"/>
      </w:rPr>
      <w:t>Email: bloco.esquerda@be.parlamento.pt - http://</w:t>
    </w:r>
    <w:r w:rsidR="00B62965">
      <w:rPr>
        <w:rFonts w:ascii="Calibri" w:hAnsi="Calibri" w:cs="Calibri"/>
        <w:color w:val="D3454F"/>
        <w:sz w:val="18"/>
        <w:lang w:val="en-US"/>
      </w:rPr>
      <w:t>parlamento.bloco.org</w:t>
    </w:r>
    <w:r>
      <w:rPr>
        <w:rFonts w:ascii="Calibri" w:hAnsi="Calibri" w:cs="Calibri"/>
        <w:color w:val="D3454F"/>
        <w:sz w:val="18"/>
        <w:lang w:val="en-US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4687" w14:textId="77777777" w:rsidR="00CA221B" w:rsidRDefault="00CA221B">
      <w:r>
        <w:separator/>
      </w:r>
    </w:p>
  </w:footnote>
  <w:footnote w:type="continuationSeparator" w:id="0">
    <w:p w14:paraId="429A8946" w14:textId="77777777" w:rsidR="00CA221B" w:rsidRDefault="00CA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CF"/>
    <w:rsid w:val="00071219"/>
    <w:rsid w:val="000A02D8"/>
    <w:rsid w:val="000B3098"/>
    <w:rsid w:val="00154857"/>
    <w:rsid w:val="001B1212"/>
    <w:rsid w:val="001B186C"/>
    <w:rsid w:val="001F2097"/>
    <w:rsid w:val="00230D9D"/>
    <w:rsid w:val="002D0594"/>
    <w:rsid w:val="003055A8"/>
    <w:rsid w:val="003B460F"/>
    <w:rsid w:val="00497C42"/>
    <w:rsid w:val="004F3DB7"/>
    <w:rsid w:val="0058435D"/>
    <w:rsid w:val="00630AA1"/>
    <w:rsid w:val="00677338"/>
    <w:rsid w:val="00723DA7"/>
    <w:rsid w:val="00781042"/>
    <w:rsid w:val="0082203E"/>
    <w:rsid w:val="008C49C6"/>
    <w:rsid w:val="00994EFA"/>
    <w:rsid w:val="009A1047"/>
    <w:rsid w:val="00A235CB"/>
    <w:rsid w:val="00AD67EA"/>
    <w:rsid w:val="00B62965"/>
    <w:rsid w:val="00BA5FF8"/>
    <w:rsid w:val="00CA221B"/>
    <w:rsid w:val="00D4663A"/>
    <w:rsid w:val="00DD25CF"/>
    <w:rsid w:val="00DE032C"/>
    <w:rsid w:val="00DF77D0"/>
    <w:rsid w:val="00E04F82"/>
    <w:rsid w:val="00E1689E"/>
    <w:rsid w:val="00EC5235"/>
    <w:rsid w:val="00ED1244"/>
    <w:rsid w:val="00EE0346"/>
    <w:rsid w:val="00F70A62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0B7B"/>
  <w15:docId w15:val="{E6770F36-E56E-42A4-BA58-FD4FB73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B12A17"/>
    <w:rPr>
      <w:rFonts w:ascii="Tahoma" w:eastAsia="Times New Roman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03557"/>
    <w:rPr>
      <w:rFonts w:ascii="Times New Roman" w:eastAsia="Times New Roman" w:hAnsi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03557"/>
    <w:rPr>
      <w:rFonts w:ascii="Times New Roman" w:eastAsia="Times New Roman" w:hAnsi="Times New Roman"/>
    </w:rPr>
  </w:style>
  <w:style w:type="character" w:customStyle="1" w:styleId="LigaodeInternet">
    <w:name w:val="Ligação de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qFormat/>
    <w:rsid w:val="0061526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B12A17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E03557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paragraph" w:customStyle="1" w:styleId="Contedodamoldura">
    <w:name w:val="Conteúdo da moldura"/>
    <w:basedOn w:val="Normal"/>
    <w:qFormat/>
  </w:style>
  <w:style w:type="paragraph" w:customStyle="1" w:styleId="paragraph-normal-text">
    <w:name w:val="paragraph-normal-text"/>
    <w:basedOn w:val="Normal"/>
    <w:rsid w:val="00723DA7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497C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http://schemas.microsoft.com/sharepoint/v3">Projeto de Resolução</DesignacaoTipoIniciativa>
    <TipoIniciativa xmlns="http://schemas.microsoft.com/sharepoint/v3">R</TipoIniciativa>
    <DataDocumento xmlns="http://schemas.microsoft.com/sharepoint/v3">2023-04-25T23:00:00+00:00</DataDocumento>
    <IDFase xmlns="http://schemas.microsoft.com/sharepoint/v3">0</IDFase>
    <IDIniciativa xmlns="http://schemas.microsoft.com/sharepoint/v3">172841</IDIniciativa>
    <TipoDocumento xmlns="http://schemas.microsoft.com/sharepoint/v3">Texto</TipoDocumento>
    <NomeOriginalFicheiro xmlns="http://schemas.microsoft.com/sharepoint/v3">pjr653-XV.docx</NomeOriginalFicheiro>
    <NROrdem xmlns="http://schemas.microsoft.com/sharepoint/v3">1</NROrdem>
    <PublicarInternet xmlns="http://schemas.microsoft.com/sharepoint/v3">true</PublicarInternet>
    <NRIniciativa xmlns="http://schemas.microsoft.com/sharepoint/v3">653</NRIniciativa>
    <Legislatura xmlns="http://schemas.microsoft.com/sharepoint/v3">XV</Legislatura>
    <Sessao xmlns="http://schemas.microsoft.com/sharepoint/v3">1ª</Sessao>
  </documentManagement>
</p:properties>
</file>

<file path=customXml/itemProps1.xml><?xml version="1.0" encoding="utf-8"?>
<ds:datastoreItem xmlns:ds="http://schemas.openxmlformats.org/officeDocument/2006/customXml" ds:itemID="{971E6286-3DE7-4D0B-A8DF-2C6F65EA1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0D5BC-763A-4118-B48E-D4C76E22EBD1}"/>
</file>

<file path=customXml/itemProps3.xml><?xml version="1.0" encoding="utf-8"?>
<ds:datastoreItem xmlns:ds="http://schemas.openxmlformats.org/officeDocument/2006/customXml" ds:itemID="{2A4007D5-8C37-4398-B7FC-3DD9D9D33A08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>Assembleia da República - Palácio de S. Bento - 1249-068 Lisboa - Telefone: 21 391 7592 - Fax: 21 391 7459Email: bloco.esquerda@be.parlamento.pt - http:// www.beparlamento.net/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spereira</dc:creator>
  <dc:description/>
  <cp:lastModifiedBy>Beatriz Zoccoli</cp:lastModifiedBy>
  <cp:revision>2</cp:revision>
  <cp:lastPrinted>2019-12-11T10:34:00Z</cp:lastPrinted>
  <dcterms:created xsi:type="dcterms:W3CDTF">2023-04-26T16:34:00Z</dcterms:created>
  <dcterms:modified xsi:type="dcterms:W3CDTF">2023-04-26T16:34:00Z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Assembleia da República - Palácio de S. Bento - 1249-068 Lisboa - Telefone: 21 391 7592 - Fax: 21 391 7459Email: bloco.esquerda@be.parlamento.pt - http:// www.beparlamento.net/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0x01010023E375C1FBF74D42B2ACAE3B54768E1800BEE0710D68638A4EB5A41493C158F09D</vt:lpwstr>
  </property>
  <property fmtid="{D5CDD505-2E9C-101B-9397-08002B2CF9AE}" pid="10" name="Order">
    <vt:r8>214000</vt:r8>
  </property>
</Properties>
</file>