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E202" w14:textId="77777777" w:rsidR="0000665C" w:rsidRDefault="0000665C">
      <w:pPr>
        <w:rPr>
          <w:rFonts w:ascii="Arial" w:eastAsia="Arial" w:hAnsi="Arial" w:cs="Arial"/>
        </w:rPr>
      </w:pPr>
    </w:p>
    <w:p w14:paraId="7315C8B0" w14:textId="77777777" w:rsidR="003A51FE" w:rsidRDefault="003A51FE">
      <w:pPr>
        <w:spacing w:after="0" w:line="480" w:lineRule="auto"/>
        <w:ind w:right="107"/>
        <w:jc w:val="center"/>
        <w:rPr>
          <w:b/>
          <w:sz w:val="24"/>
          <w:szCs w:val="24"/>
        </w:rPr>
      </w:pPr>
    </w:p>
    <w:p w14:paraId="443E3D7E" w14:textId="4020A7B5" w:rsidR="0000665C" w:rsidRDefault="003A51FE" w:rsidP="003A51FE">
      <w:pPr>
        <w:spacing w:after="0" w:line="480" w:lineRule="auto"/>
        <w:ind w:right="107"/>
        <w:jc w:val="center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</w:rPr>
        <w:t>Projecto</w:t>
      </w:r>
      <w:proofErr w:type="spellEnd"/>
      <w:r>
        <w:rPr>
          <w:b/>
          <w:sz w:val="24"/>
          <w:szCs w:val="24"/>
        </w:rPr>
        <w:t xml:space="preserve"> de Re</w:t>
      </w:r>
      <w:r>
        <w:rPr>
          <w:b/>
          <w:sz w:val="24"/>
          <w:szCs w:val="24"/>
          <w:highlight w:val="white"/>
        </w:rPr>
        <w:t>solução n.º 558</w:t>
      </w:r>
      <w:r>
        <w:rPr>
          <w:b/>
          <w:sz w:val="24"/>
          <w:szCs w:val="24"/>
          <w:highlight w:val="white"/>
        </w:rPr>
        <w:t>/XV/1.ª</w:t>
      </w:r>
    </w:p>
    <w:p w14:paraId="22C9F1A7" w14:textId="77777777" w:rsidR="0000665C" w:rsidRDefault="003A51FE">
      <w:pPr>
        <w:spacing w:after="0" w:line="480" w:lineRule="auto"/>
        <w:ind w:right="1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Recomenda ao Governo que reforce os meios de combate ao abandono de animais</w:t>
      </w:r>
    </w:p>
    <w:p w14:paraId="38485635" w14:textId="77777777" w:rsidR="0000665C" w:rsidRDefault="0000665C">
      <w:pPr>
        <w:spacing w:after="0" w:line="480" w:lineRule="auto"/>
        <w:ind w:right="107"/>
        <w:jc w:val="center"/>
        <w:rPr>
          <w:b/>
          <w:sz w:val="24"/>
          <w:szCs w:val="24"/>
        </w:rPr>
      </w:pPr>
    </w:p>
    <w:p w14:paraId="4A1FEE1E" w14:textId="77777777" w:rsidR="0000665C" w:rsidRDefault="003A51FE">
      <w:pPr>
        <w:spacing w:after="0" w:line="480" w:lineRule="auto"/>
        <w:ind w:right="1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Exposição de motivos</w:t>
      </w:r>
    </w:p>
    <w:p w14:paraId="45FEDDF3" w14:textId="77777777" w:rsidR="0000665C" w:rsidRDefault="003A51FE">
      <w:pPr>
        <w:spacing w:line="360" w:lineRule="auto"/>
        <w:ind w:left="260" w:right="107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A Lei n.º 69/2014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, de 29 de agosto, representa uma importante evolução do direito animal em Portugal e é muito </w:t>
      </w:r>
      <w:r>
        <w:rPr>
          <w:sz w:val="24"/>
          <w:szCs w:val="24"/>
        </w:rPr>
        <w:t>clara quanto ao abandono animal. Adita ao Código Penal, o novo Título VI, designado «</w:t>
      </w:r>
      <w:r>
        <w:rPr>
          <w:i/>
          <w:sz w:val="24"/>
          <w:szCs w:val="24"/>
        </w:rPr>
        <w:t>Dos crimes contra animais de companhia</w:t>
      </w:r>
      <w:r>
        <w:rPr>
          <w:sz w:val="24"/>
          <w:szCs w:val="24"/>
        </w:rPr>
        <w:t>», composto, entre outros, pelo artigo 388.º designado «</w:t>
      </w:r>
      <w:r>
        <w:rPr>
          <w:i/>
          <w:sz w:val="24"/>
          <w:szCs w:val="24"/>
        </w:rPr>
        <w:t>Abandono de animais de companhia</w:t>
      </w:r>
      <w:r>
        <w:rPr>
          <w:sz w:val="24"/>
          <w:szCs w:val="24"/>
        </w:rPr>
        <w:t>». Este artigo estabelece que quem, tendo o d</w:t>
      </w:r>
      <w:r>
        <w:rPr>
          <w:sz w:val="24"/>
          <w:szCs w:val="24"/>
        </w:rPr>
        <w:t>ever de guardar, vigiar ou assistir animal de companhia, o abandonar, pondo desse modo em perigo a sua alimentação e a prestação de cuidados que lhe são devidos, é punido com pena de prisão até seis meses ou com pena de multa até 60 dias.</w:t>
      </w:r>
    </w:p>
    <w:p w14:paraId="5D958014" w14:textId="77777777" w:rsidR="0000665C" w:rsidRDefault="003A51FE">
      <w:pPr>
        <w:spacing w:line="360" w:lineRule="auto"/>
        <w:ind w:left="260" w:right="107"/>
        <w:jc w:val="both"/>
        <w:rPr>
          <w:sz w:val="24"/>
          <w:szCs w:val="24"/>
        </w:rPr>
      </w:pPr>
      <w:r>
        <w:rPr>
          <w:sz w:val="24"/>
          <w:szCs w:val="24"/>
        </w:rPr>
        <w:t>Porém, a mesma nã</w:t>
      </w:r>
      <w:r>
        <w:rPr>
          <w:sz w:val="24"/>
          <w:szCs w:val="24"/>
        </w:rPr>
        <w:t xml:space="preserve">o parece ser suficiente para desincentivar quem deliberadamente abandona ou maltrata animais sejam eles de companhia ou outros, e constatamos que existe ainda um longo percurso a desenvolver no plano legislativo e na aplicação desta lei. </w:t>
      </w:r>
    </w:p>
    <w:p w14:paraId="4B5F6013" w14:textId="77777777" w:rsidR="0000665C" w:rsidRDefault="003A51FE">
      <w:pPr>
        <w:spacing w:line="360" w:lineRule="auto"/>
        <w:ind w:left="260" w:right="107"/>
        <w:jc w:val="both"/>
        <w:rPr>
          <w:sz w:val="24"/>
          <w:szCs w:val="24"/>
        </w:rPr>
      </w:pPr>
      <w:r>
        <w:rPr>
          <w:sz w:val="24"/>
          <w:szCs w:val="24"/>
        </w:rPr>
        <w:t>Segundo os último</w:t>
      </w:r>
      <w:r>
        <w:rPr>
          <w:sz w:val="24"/>
          <w:szCs w:val="24"/>
        </w:rPr>
        <w:t>s dados divulgados pela  </w:t>
      </w:r>
      <w:hyperlink r:id="rId8">
        <w:r>
          <w:rPr>
            <w:sz w:val="24"/>
            <w:szCs w:val="24"/>
          </w:rPr>
          <w:t>Direção Geral de Alimentação e Veterinária</w:t>
        </w:r>
      </w:hyperlink>
      <w:r>
        <w:rPr>
          <w:sz w:val="24"/>
          <w:szCs w:val="24"/>
        </w:rPr>
        <w:t> (DGAV), em 2020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, nos Centros de Recolha Oficiais (</w:t>
      </w:r>
      <w:proofErr w:type="spellStart"/>
      <w:r>
        <w:rPr>
          <w:sz w:val="24"/>
          <w:szCs w:val="24"/>
        </w:rPr>
        <w:t>CRO’s</w:t>
      </w:r>
      <w:proofErr w:type="spellEnd"/>
      <w:r>
        <w:rPr>
          <w:sz w:val="24"/>
          <w:szCs w:val="24"/>
        </w:rPr>
        <w:t>) foram recolhidos 31.339 an</w:t>
      </w:r>
      <w:r>
        <w:rPr>
          <w:sz w:val="24"/>
          <w:szCs w:val="24"/>
        </w:rPr>
        <w:t>imais errantes, abandonados e vítimas de maus tratos.</w:t>
      </w:r>
    </w:p>
    <w:p w14:paraId="24F58675" w14:textId="77777777" w:rsidR="0000665C" w:rsidRDefault="003A51FE">
      <w:pPr>
        <w:spacing w:line="360" w:lineRule="auto"/>
        <w:ind w:left="260" w:right="107"/>
        <w:jc w:val="both"/>
        <w:rPr>
          <w:sz w:val="24"/>
          <w:szCs w:val="24"/>
        </w:rPr>
      </w:pPr>
      <w:r>
        <w:rPr>
          <w:sz w:val="24"/>
          <w:szCs w:val="24"/>
        </w:rPr>
        <w:t>Acresce referir que a Lei n.º 27/2016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, de 23 de agosto, que aprovou a criação destes Centros de Recolha Oficial de animais (CRO) proibiu também o abate de animais errantes saudáveis, definindo que as </w:t>
      </w:r>
      <w:r>
        <w:rPr>
          <w:sz w:val="24"/>
          <w:szCs w:val="24"/>
        </w:rPr>
        <w:t xml:space="preserve">Câmaras tinham até </w:t>
      </w:r>
      <w:proofErr w:type="gramStart"/>
      <w:r>
        <w:rPr>
          <w:sz w:val="24"/>
          <w:szCs w:val="24"/>
        </w:rPr>
        <w:t>Outubro</w:t>
      </w:r>
      <w:proofErr w:type="gramEnd"/>
      <w:r>
        <w:rPr>
          <w:sz w:val="24"/>
          <w:szCs w:val="24"/>
        </w:rPr>
        <w:t xml:space="preserve"> de 2018 para se </w:t>
      </w:r>
      <w:r>
        <w:rPr>
          <w:sz w:val="24"/>
          <w:szCs w:val="24"/>
        </w:rPr>
        <w:lastRenderedPageBreak/>
        <w:t>adaptarem à nova legislação. Consequentemente, a mesma criou grande pressão sobre a capacidade de recolha municipal.</w:t>
      </w:r>
    </w:p>
    <w:p w14:paraId="7A33E9E7" w14:textId="77777777" w:rsidR="0000665C" w:rsidRDefault="003A51FE">
      <w:pPr>
        <w:spacing w:line="360" w:lineRule="auto"/>
        <w:ind w:left="260" w:right="107"/>
        <w:jc w:val="both"/>
        <w:rPr>
          <w:sz w:val="24"/>
          <w:szCs w:val="24"/>
        </w:rPr>
      </w:pPr>
      <w:r>
        <w:rPr>
          <w:sz w:val="24"/>
          <w:szCs w:val="24"/>
        </w:rPr>
        <w:t>Comparando a evolução entre 2018 e 2020, a tendência demonstra, à partida, uma evolução que apar</w:t>
      </w:r>
      <w:r>
        <w:rPr>
          <w:sz w:val="24"/>
          <w:szCs w:val="24"/>
        </w:rPr>
        <w:t>enta ser positiva, já que a recolha de animais em CRO diminuiu 14,2%, no entanto, sabemos que de norte a sul do país, grande parte dos centros estão lotados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</w:rPr>
        <w:t xml:space="preserve"> e, portanto, impossibilitados de permitir mais recolhas. </w:t>
      </w:r>
    </w:p>
    <w:p w14:paraId="34A133FC" w14:textId="77777777" w:rsidR="0000665C" w:rsidRDefault="003A51FE">
      <w:pPr>
        <w:spacing w:line="360" w:lineRule="auto"/>
        <w:ind w:left="260"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situação na generalidade dos </w:t>
      </w:r>
      <w:proofErr w:type="spellStart"/>
      <w:r>
        <w:rPr>
          <w:sz w:val="24"/>
          <w:szCs w:val="24"/>
        </w:rPr>
        <w:t>CRO´s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é hoje preocupante ao nível da sobrelotação, a qual acarreta subsequentes dificuldades ao nível da recolha. Ou seja, contrariamente ao expectável, a diminuição de animais recolhidos não significa a diminuição de animais abandonados. Portanto, aos mais de 3</w:t>
      </w:r>
      <w:r>
        <w:rPr>
          <w:sz w:val="24"/>
          <w:szCs w:val="24"/>
        </w:rPr>
        <w:t xml:space="preserve">0 mil animais abandonados e recolhidos de que há registo na DGAV, no ano de 2020, soma-se um número incalculável de tantos outros que, por falta de disponibilidade dos </w:t>
      </w:r>
      <w:proofErr w:type="spellStart"/>
      <w:r>
        <w:rPr>
          <w:sz w:val="24"/>
          <w:szCs w:val="24"/>
        </w:rPr>
        <w:t>CRO´s</w:t>
      </w:r>
      <w:proofErr w:type="spellEnd"/>
      <w:r>
        <w:rPr>
          <w:sz w:val="24"/>
          <w:szCs w:val="24"/>
        </w:rPr>
        <w:t xml:space="preserve"> continuam entregues à sua sorte ou acolhidos por associações ou movimentos de </w:t>
      </w:r>
      <w:proofErr w:type="spellStart"/>
      <w:r>
        <w:rPr>
          <w:sz w:val="24"/>
          <w:szCs w:val="24"/>
        </w:rPr>
        <w:t>prot</w:t>
      </w:r>
      <w:r>
        <w:rPr>
          <w:sz w:val="24"/>
          <w:szCs w:val="24"/>
        </w:rPr>
        <w:t>ecção</w:t>
      </w:r>
      <w:proofErr w:type="spellEnd"/>
      <w:r>
        <w:rPr>
          <w:sz w:val="24"/>
          <w:szCs w:val="24"/>
        </w:rPr>
        <w:t xml:space="preserve"> animal.</w:t>
      </w:r>
    </w:p>
    <w:p w14:paraId="27542822" w14:textId="77777777" w:rsidR="0000665C" w:rsidRDefault="003A51FE">
      <w:pPr>
        <w:spacing w:line="360" w:lineRule="auto"/>
        <w:ind w:left="260" w:right="107"/>
        <w:jc w:val="both"/>
        <w:rPr>
          <w:sz w:val="24"/>
          <w:szCs w:val="24"/>
        </w:rPr>
      </w:pPr>
      <w:r>
        <w:rPr>
          <w:sz w:val="24"/>
          <w:szCs w:val="24"/>
        </w:rPr>
        <w:t>Acresce sublinhar que a esterilização será sempre a melhor opção para controlar a sobrepopulação e que ainda não permitiu, por constrangimentos e inoperância das campanhas de esterilização, reduzir o abandono, o número de animais errantes e c</w:t>
      </w:r>
      <w:r>
        <w:rPr>
          <w:sz w:val="24"/>
          <w:szCs w:val="24"/>
        </w:rPr>
        <w:t>onsequentemente a sobrelotação dos centros de recolha oficial.</w:t>
      </w:r>
      <w:r>
        <w:rPr>
          <w:sz w:val="24"/>
          <w:szCs w:val="24"/>
        </w:rPr>
        <w:br/>
        <w:t>Importa referir também que deverá ser dada a devida atenção a muitos outros fatores que estão na origem do abandono de animais, amplamente referenciados, e que são de diversa ordem:</w:t>
      </w:r>
    </w:p>
    <w:p w14:paraId="6294752B" w14:textId="77777777" w:rsidR="0000665C" w:rsidRDefault="003A5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Falta de re</w:t>
      </w:r>
      <w:r>
        <w:rPr>
          <w:color w:val="000000"/>
          <w:sz w:val="24"/>
          <w:szCs w:val="24"/>
        </w:rPr>
        <w:t>cursos para acolhimento dos animais no período de férias;</w:t>
      </w:r>
    </w:p>
    <w:p w14:paraId="745FE422" w14:textId="77777777" w:rsidR="0000665C" w:rsidRDefault="003A5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Gravidez ou nascimento de um filho, por crença infundada de que o animal pode constituir um risco para a saúde do bebé, nomeadamente transmitir toxoplasmose</w:t>
      </w:r>
      <w:r>
        <w:rPr>
          <w:color w:val="000000"/>
          <w:sz w:val="24"/>
          <w:szCs w:val="24"/>
          <w:vertAlign w:val="superscript"/>
        </w:rPr>
        <w:footnoteReference w:id="6"/>
      </w:r>
      <w:r>
        <w:rPr>
          <w:color w:val="000000"/>
          <w:sz w:val="24"/>
          <w:szCs w:val="24"/>
        </w:rPr>
        <w:t>;</w:t>
      </w:r>
    </w:p>
    <w:p w14:paraId="1DBFF3AD" w14:textId="77777777" w:rsidR="0000665C" w:rsidRDefault="003A5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Dificuldade na resolução de problemas de comportamento do animal, como por exemplo agressividade ou inadaptação ao convívio com outros; </w:t>
      </w:r>
    </w:p>
    <w:p w14:paraId="67F3E91F" w14:textId="77777777" w:rsidR="0000665C" w:rsidRDefault="003A5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Desempenho abaixo da expectativa, em funções de guarda ou caça;</w:t>
      </w:r>
    </w:p>
    <w:p w14:paraId="134329B9" w14:textId="77777777" w:rsidR="0000665C" w:rsidRDefault="003A5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Alergias ao animal previamente desconhecidas;</w:t>
      </w:r>
    </w:p>
    <w:p w14:paraId="12A4616C" w14:textId="77777777" w:rsidR="0000665C" w:rsidRDefault="003A5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Emigração</w:t>
      </w:r>
      <w:r>
        <w:rPr>
          <w:color w:val="000000"/>
          <w:sz w:val="24"/>
          <w:szCs w:val="24"/>
        </w:rPr>
        <w:t xml:space="preserve"> ou mudança de residência;</w:t>
      </w:r>
    </w:p>
    <w:p w14:paraId="473A1D16" w14:textId="77777777" w:rsidR="0000665C" w:rsidRDefault="003A5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Ninhadas inesperadas;</w:t>
      </w:r>
    </w:p>
    <w:p w14:paraId="1B7ABF51" w14:textId="77777777" w:rsidR="0000665C" w:rsidRDefault="003A5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Dificuldades económicas;</w:t>
      </w:r>
    </w:p>
    <w:p w14:paraId="4F0A5699" w14:textId="77777777" w:rsidR="0000665C" w:rsidRDefault="003A5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Alterações à estrutura familiar, nomeadamente, decorrentes de divórcio, morte ou doença.</w:t>
      </w:r>
    </w:p>
    <w:p w14:paraId="5AA9130F" w14:textId="77777777" w:rsidR="0000665C" w:rsidRDefault="003A51FE">
      <w:pPr>
        <w:spacing w:line="360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Apesar de todas estas situações ocorrerem continuadamente ao longo do ano, existe uma maior i</w:t>
      </w:r>
      <w:r>
        <w:rPr>
          <w:sz w:val="24"/>
          <w:szCs w:val="24"/>
        </w:rPr>
        <w:t>ncidência de abandono animal no período das férias de verão, no entanto todas as causas aqui mencionadas, poderão não resultar em abandono se forem atendidos critérios e procedimentos de adoção mais rigorosos, mais e melhor informação sobre situações indes</w:t>
      </w:r>
      <w:r>
        <w:rPr>
          <w:sz w:val="24"/>
          <w:szCs w:val="24"/>
        </w:rPr>
        <w:t xml:space="preserve">ejadas, e capacidade de assistência por parte dos </w:t>
      </w:r>
      <w:proofErr w:type="spellStart"/>
      <w:r>
        <w:rPr>
          <w:sz w:val="24"/>
          <w:szCs w:val="24"/>
        </w:rPr>
        <w:t>CRO’s</w:t>
      </w:r>
      <w:proofErr w:type="spellEnd"/>
      <w:r>
        <w:rPr>
          <w:sz w:val="24"/>
          <w:szCs w:val="24"/>
        </w:rPr>
        <w:t xml:space="preserve"> em caso de necessidade emergente.</w:t>
      </w:r>
    </w:p>
    <w:p w14:paraId="234CFA5F" w14:textId="77777777" w:rsidR="0000665C" w:rsidRDefault="003A51FE">
      <w:pPr>
        <w:spacing w:line="360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e ao abrigo das disposições constitucionais e regimentalmente aplicáveis, os Deputados do Grupo Parlamentar do Partido CHEGA, recomendam ao Governo que: </w:t>
      </w:r>
    </w:p>
    <w:p w14:paraId="5B2DD2C5" w14:textId="77777777" w:rsidR="0000665C" w:rsidRDefault="003A51FE">
      <w:pPr>
        <w:widowControl w:val="0"/>
        <w:numPr>
          <w:ilvl w:val="0"/>
          <w:numId w:val="1"/>
        </w:numPr>
        <w:spacing w:line="360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Promo</w:t>
      </w:r>
      <w:r>
        <w:rPr>
          <w:sz w:val="24"/>
          <w:szCs w:val="24"/>
        </w:rPr>
        <w:t xml:space="preserve">va, em articulação com os municípios, o apoio às famílias no encaminhamento dos seus animais de companhia em </w:t>
      </w:r>
      <w:proofErr w:type="gramStart"/>
      <w:r>
        <w:rPr>
          <w:sz w:val="24"/>
          <w:szCs w:val="24"/>
        </w:rPr>
        <w:t>situações de emergência</w:t>
      </w:r>
      <w:proofErr w:type="gramEnd"/>
      <w:r>
        <w:rPr>
          <w:sz w:val="24"/>
          <w:szCs w:val="24"/>
        </w:rPr>
        <w:t>, e na resolução de situações que possam constituir risco de abandono animal, através da dotação dos meios necessários ao ex</w:t>
      </w:r>
      <w:r>
        <w:rPr>
          <w:sz w:val="24"/>
          <w:szCs w:val="24"/>
        </w:rPr>
        <w:t xml:space="preserve">ercício da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dos CRO’S que, entre outras, deverá assumir as seguintes competências:</w:t>
      </w:r>
    </w:p>
    <w:p w14:paraId="07FBBB9E" w14:textId="77777777" w:rsidR="0000665C" w:rsidRDefault="003A51F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Procurar, em colaboração com os órgãos e serviços competentes, nomeadamente com o Médico Veterinário Municipal, reforçar o acompanhamento das famílias, de </w:t>
      </w:r>
      <w:r>
        <w:rPr>
          <w:sz w:val="24"/>
          <w:szCs w:val="24"/>
        </w:rPr>
        <w:t>forma a identificar e monitorizar atempadamente as situações onde exista risco de abandono;</w:t>
      </w:r>
    </w:p>
    <w:p w14:paraId="5F594D06" w14:textId="77777777" w:rsidR="0000665C" w:rsidRDefault="003A51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Aconselhar e apoiar detentores de animais em risco e diligenciar no sentido de encontrar as soluções mais adequadas à especificidade de cada caso.</w:t>
      </w:r>
    </w:p>
    <w:p w14:paraId="7FECDAF5" w14:textId="77777777" w:rsidR="0000665C" w:rsidRDefault="003A5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Intensifique, em </w:t>
      </w:r>
      <w:r>
        <w:rPr>
          <w:sz w:val="24"/>
          <w:szCs w:val="24"/>
        </w:rPr>
        <w:t xml:space="preserve">cooperação com os municípios, as campanhas de esterilização de animais de companhia e contra o abandono de animais de companhia. </w:t>
      </w:r>
    </w:p>
    <w:p w14:paraId="3C98EBE7" w14:textId="77777777" w:rsidR="0000665C" w:rsidRDefault="0000665C">
      <w:pPr>
        <w:spacing w:line="360" w:lineRule="auto"/>
        <w:ind w:left="260" w:right="107"/>
        <w:jc w:val="both"/>
        <w:rPr>
          <w:sz w:val="24"/>
          <w:szCs w:val="24"/>
        </w:rPr>
      </w:pPr>
    </w:p>
    <w:p w14:paraId="519EE358" w14:textId="77777777" w:rsidR="0000665C" w:rsidRDefault="003A51FE">
      <w:pPr>
        <w:spacing w:line="360" w:lineRule="auto"/>
        <w:ind w:left="260" w:right="107"/>
        <w:jc w:val="center"/>
        <w:rPr>
          <w:sz w:val="24"/>
          <w:szCs w:val="24"/>
          <w:highlight w:val="white"/>
        </w:rPr>
      </w:pPr>
      <w:r>
        <w:rPr>
          <w:sz w:val="24"/>
          <w:szCs w:val="24"/>
        </w:rPr>
        <w:t>Palácio de S</w:t>
      </w:r>
      <w:r>
        <w:rPr>
          <w:sz w:val="24"/>
          <w:szCs w:val="24"/>
          <w:highlight w:val="white"/>
        </w:rPr>
        <w:t>ão Bento, 21 de março de 2023</w:t>
      </w:r>
    </w:p>
    <w:p w14:paraId="57848C6C" w14:textId="77777777" w:rsidR="0000665C" w:rsidRDefault="003A51FE">
      <w:pPr>
        <w:spacing w:line="360" w:lineRule="auto"/>
        <w:ind w:right="107"/>
        <w:jc w:val="center"/>
        <w:rPr>
          <w:sz w:val="24"/>
          <w:szCs w:val="24"/>
        </w:rPr>
      </w:pPr>
      <w:r>
        <w:rPr>
          <w:sz w:val="24"/>
          <w:szCs w:val="24"/>
        </w:rPr>
        <w:t>Os Deputados do Grupo Parlamentar do CHEGA,</w:t>
      </w:r>
    </w:p>
    <w:p w14:paraId="130BE2D4" w14:textId="77777777" w:rsidR="0000665C" w:rsidRDefault="003A51FE">
      <w:pPr>
        <w:spacing w:line="360" w:lineRule="auto"/>
        <w:ind w:left="284" w:right="10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André Ventura - Bruno Nunes - </w:t>
      </w:r>
      <w:r>
        <w:rPr>
          <w:sz w:val="24"/>
          <w:szCs w:val="24"/>
        </w:rPr>
        <w:t>Diogo Pacheco de Amorim - Filipe Melo - Gabriel Mithá Ribeiro - Jorge Galveias - Pedro Frazão - Pedro Pessanha - Pedro Pinto - Rita Matias - Rui Afonso – Rui Paulo Sousa</w:t>
      </w:r>
    </w:p>
    <w:sectPr w:rsidR="0000665C" w:rsidSect="007B0DC6">
      <w:headerReference w:type="default" r:id="rId9"/>
      <w:footerReference w:type="default" r:id="rId10"/>
      <w:pgSz w:w="11906" w:h="16838"/>
      <w:pgMar w:top="1417" w:right="1701" w:bottom="1417" w:left="1701" w:header="709" w:footer="111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BBF4" w14:textId="77777777" w:rsidR="00506530" w:rsidRDefault="00506530">
      <w:pPr>
        <w:spacing w:after="0" w:line="240" w:lineRule="auto"/>
      </w:pPr>
      <w:r>
        <w:separator/>
      </w:r>
    </w:p>
  </w:endnote>
  <w:endnote w:type="continuationSeparator" w:id="0">
    <w:p w14:paraId="24ED390D" w14:textId="77777777" w:rsidR="00506530" w:rsidRDefault="0050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7A6C" w14:textId="77777777" w:rsidR="0000665C" w:rsidRDefault="003A51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2752202" wp14:editId="2B9D2168">
          <wp:simplePos x="0" y="0"/>
          <wp:positionH relativeFrom="margin">
            <wp:align>center</wp:align>
          </wp:positionH>
          <wp:positionV relativeFrom="paragraph">
            <wp:posOffset>90805</wp:posOffset>
          </wp:positionV>
          <wp:extent cx="2061845" cy="662305"/>
          <wp:effectExtent l="0" t="0" r="0" b="4445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4545" w14:textId="77777777" w:rsidR="00506530" w:rsidRDefault="00506530">
      <w:pPr>
        <w:spacing w:after="0" w:line="240" w:lineRule="auto"/>
      </w:pPr>
      <w:r>
        <w:separator/>
      </w:r>
    </w:p>
  </w:footnote>
  <w:footnote w:type="continuationSeparator" w:id="0">
    <w:p w14:paraId="3F31B8A5" w14:textId="77777777" w:rsidR="00506530" w:rsidRDefault="00506530">
      <w:pPr>
        <w:spacing w:after="0" w:line="240" w:lineRule="auto"/>
      </w:pPr>
      <w:r>
        <w:continuationSeparator/>
      </w:r>
    </w:p>
  </w:footnote>
  <w:footnote w:id="1">
    <w:p w14:paraId="0CA9DDCB" w14:textId="77777777" w:rsidR="0000665C" w:rsidRDefault="003A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16"/>
            <w:szCs w:val="16"/>
            <w:u w:val="single"/>
          </w:rPr>
          <w:t>0456604567.pdf (dre.pt)</w:t>
        </w:r>
      </w:hyperlink>
    </w:p>
  </w:footnote>
  <w:footnote w:id="2">
    <w:p w14:paraId="6BAE745C" w14:textId="77777777" w:rsidR="0000665C" w:rsidRDefault="003A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">
        <w:r>
          <w:rPr>
            <w:color w:val="0000FF"/>
            <w:sz w:val="18"/>
            <w:szCs w:val="18"/>
            <w:u w:val="single"/>
          </w:rPr>
          <w:t>Relatorio-Lei-27_2016-final_2020.pdf (dgav.pt)</w:t>
        </w:r>
      </w:hyperlink>
    </w:p>
  </w:footnote>
  <w:footnote w:id="3">
    <w:p w14:paraId="1EB2CF6E" w14:textId="77777777" w:rsidR="0000665C" w:rsidRDefault="003A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">
        <w:r>
          <w:rPr>
            <w:color w:val="0000FF"/>
            <w:sz w:val="16"/>
            <w:szCs w:val="16"/>
            <w:u w:val="single"/>
          </w:rPr>
          <w:t>0282702828.pdf (dre.pt)</w:t>
        </w:r>
      </w:hyperlink>
    </w:p>
  </w:footnote>
  <w:footnote w:id="4">
    <w:p w14:paraId="4CCC78EA" w14:textId="77777777" w:rsidR="0000665C" w:rsidRDefault="003A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4">
        <w:r>
          <w:rPr>
            <w:color w:val="0000FF"/>
            <w:sz w:val="16"/>
            <w:szCs w:val="16"/>
            <w:u w:val="single"/>
          </w:rPr>
          <w:t>“Até podemos construir mais três ou quatro canis, mas vão estar sempre lotados” | Jornal Nordeste</w:t>
        </w:r>
      </w:hyperlink>
    </w:p>
  </w:footnote>
  <w:footnote w:id="5">
    <w:p w14:paraId="5B478D8F" w14:textId="77777777" w:rsidR="0000665C" w:rsidRDefault="003A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5">
        <w:r>
          <w:rPr>
            <w:color w:val="0000FF"/>
            <w:sz w:val="16"/>
            <w:szCs w:val="16"/>
            <w:u w:val="single"/>
          </w:rPr>
          <w:t>Abrigos estão em sobrelotação na Região. “Não conseguimos receber mais animais”, alertam (jm-madeira.pt)</w:t>
        </w:r>
      </w:hyperlink>
    </w:p>
  </w:footnote>
  <w:footnote w:id="6">
    <w:p w14:paraId="630E9E02" w14:textId="77777777" w:rsidR="0000665C" w:rsidRDefault="003A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6">
        <w:r>
          <w:rPr>
            <w:color w:val="0000FF"/>
            <w:sz w:val="16"/>
            <w:szCs w:val="16"/>
            <w:u w:val="single"/>
          </w:rPr>
          <w:t>Toxoplasmose e gatos na gravidez: há risco? - O Meu Animal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0681" w14:textId="77777777" w:rsidR="0000665C" w:rsidRDefault="003A51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1B69EE" wp14:editId="6DF3DDD4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695450" cy="662305"/>
          <wp:effectExtent l="0" t="0" r="0" b="4445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4EE9"/>
    <w:multiLevelType w:val="multilevel"/>
    <w:tmpl w:val="02E8BA8A"/>
    <w:lvl w:ilvl="0">
      <w:start w:val="1"/>
      <w:numFmt w:val="decimal"/>
      <w:lvlText w:val="%1."/>
      <w:lvlJc w:val="left"/>
      <w:pPr>
        <w:ind w:left="134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206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7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5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22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9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6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38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1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523715"/>
    <w:multiLevelType w:val="multilevel"/>
    <w:tmpl w:val="C9009206"/>
    <w:lvl w:ilvl="0">
      <w:start w:val="1"/>
      <w:numFmt w:val="bullet"/>
      <w:lvlText w:val="●"/>
      <w:lvlJc w:val="left"/>
      <w:pPr>
        <w:ind w:left="13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0" w:hanging="360"/>
      </w:pPr>
      <w:rPr>
        <w:rFonts w:ascii="Noto Sans Symbols" w:eastAsia="Noto Sans Symbols" w:hAnsi="Noto Sans Symbols" w:cs="Noto Sans Symbols"/>
      </w:rPr>
    </w:lvl>
  </w:abstractNum>
  <w:num w:numId="1" w16cid:durableId="816798474">
    <w:abstractNumId w:val="0"/>
  </w:num>
  <w:num w:numId="2" w16cid:durableId="1346833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5C"/>
    <w:rsid w:val="0000665C"/>
    <w:rsid w:val="003A51FE"/>
    <w:rsid w:val="00506530"/>
    <w:rsid w:val="007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BEA0"/>
  <w15:docId w15:val="{02623F75-5322-4F09-9049-1CD1E9D3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0702"/>
  </w:style>
  <w:style w:type="paragraph" w:styleId="Rodap">
    <w:name w:val="footer"/>
    <w:basedOn w:val="Normal"/>
    <w:link w:val="Rodap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0702"/>
  </w:style>
  <w:style w:type="paragraph" w:styleId="Textodebalo">
    <w:name w:val="Balloon Text"/>
    <w:basedOn w:val="Normal"/>
    <w:link w:val="TextodebaloCarter"/>
    <w:uiPriority w:val="99"/>
    <w:semiHidden/>
    <w:unhideWhenUsed/>
    <w:rsid w:val="00F1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70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92E0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92E0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92E07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392E0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8E4A39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C747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B1B1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av.pt/wp-content/uploads/2021/04/Relatorio-Lei-27_2016-final_2020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les.dre.pt/1s/2016/08/16100/0282702828.pdf" TargetMode="External"/><Relationship Id="rId2" Type="http://schemas.openxmlformats.org/officeDocument/2006/relationships/hyperlink" Target="https://www.dgav.pt/wp-content/uploads/2021/04/Relatorio-Lei-27_2016-final_2020.pdf" TargetMode="External"/><Relationship Id="rId1" Type="http://schemas.openxmlformats.org/officeDocument/2006/relationships/hyperlink" Target="https://files.dre.pt/1s/2014/08/16600/0456604567.pdf" TargetMode="External"/><Relationship Id="rId6" Type="http://schemas.openxmlformats.org/officeDocument/2006/relationships/hyperlink" Target="https://omeuanimal.com/toxoplasmose-gato-para-gravida/" TargetMode="External"/><Relationship Id="rId5" Type="http://schemas.openxmlformats.org/officeDocument/2006/relationships/hyperlink" Target="https://www.jm-madeira.pt/regiao/ver/182568/Abrigos_estao_em_sobrelotacao_na_Regiao_Nao_conseguimos_receber_mais_animais_alertam" TargetMode="External"/><Relationship Id="rId4" Type="http://schemas.openxmlformats.org/officeDocument/2006/relationships/hyperlink" Target="http://jornalnordeste.com/noticia/ate-podemos-construir-mais-tres-ou-quatro-canis-mas-vao-estar-sempre-lotad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jOWk28X+BtbSqfYPKI8F7q9lsA==">AMUW2mXLd4TCq2b3gPjDl7h3BaEeUy7e6Ah9mXWhNtl9TsgpReaDTPvjazO4c7+v6q5kb5NBbbfN6PHcI8vZoTtZ8CbLD4B3wi9TLbAGSa/wqc4zn+xGfVbqL3eCPffWw7Meu8JGs4f4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2023-03-21T00:00:00+00:00</DataDocumento>
    <NomeOriginalFicheiro xmlns="http://schemas.microsoft.com/sharepoint/v3">pjr558-XV.docx</NomeOriginalFicheiro>
    <IDFase xmlns="http://schemas.microsoft.com/sharepoint/v3">0</IDFase>
    <NRIniciativa xmlns="http://schemas.microsoft.com/sharepoint/v3">558</NRIniciativa>
    <IDIniciativa xmlns="http://schemas.microsoft.com/sharepoint/v3">152691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931D21-EF5B-44A5-AC3B-E251B03CC2CA}"/>
</file>

<file path=customXml/itemProps3.xml><?xml version="1.0" encoding="utf-8"?>
<ds:datastoreItem xmlns:ds="http://schemas.openxmlformats.org/officeDocument/2006/customXml" ds:itemID="{5E5F9707-C79F-4B6E-944B-2B533C736E19}"/>
</file>

<file path=customXml/itemProps4.xml><?xml version="1.0" encoding="utf-8"?>
<ds:datastoreItem xmlns:ds="http://schemas.openxmlformats.org/officeDocument/2006/customXml" ds:itemID="{77125CCB-044A-42C1-BCAB-F2466042F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4623</Characters>
  <Application>Microsoft Office Word</Application>
  <DocSecurity>4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Jose Tome</dc:creator>
  <cp:lastModifiedBy>Beatriz Zoccoli</cp:lastModifiedBy>
  <cp:revision>2</cp:revision>
  <dcterms:created xsi:type="dcterms:W3CDTF">2023-03-21T16:32:00Z</dcterms:created>
  <dcterms:modified xsi:type="dcterms:W3CDTF">2023-03-21T16:32:00Z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403800</vt:r8>
  </property>
</Properties>
</file>