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6C" w:rsidRDefault="0098254A" w:rsidP="0061526C">
      <w:pPr>
        <w:tabs>
          <w:tab w:val="left" w:pos="709"/>
        </w:tabs>
        <w:spacing w:line="360" w:lineRule="auto"/>
        <w:jc w:val="center"/>
        <w:rPr>
          <w:i/>
        </w:rPr>
      </w:pPr>
      <w:r>
        <w:rPr>
          <w:noProof/>
          <w:sz w:val="28"/>
          <w:szCs w:val="18"/>
        </w:rPr>
        <w:drawing>
          <wp:anchor distT="0" distB="0" distL="114300" distR="114300" simplePos="0" relativeHeight="251657728" behindDoc="0" locked="0" layoutInCell="1" allowOverlap="1">
            <wp:simplePos x="0" y="0"/>
            <wp:positionH relativeFrom="column">
              <wp:posOffset>2204720</wp:posOffset>
            </wp:positionH>
            <wp:positionV relativeFrom="paragraph">
              <wp:posOffset>-595630</wp:posOffset>
            </wp:positionV>
            <wp:extent cx="1311910" cy="847725"/>
            <wp:effectExtent l="19050" t="0" r="2540" b="0"/>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7" cstate="print"/>
                    <a:srcRect r="8913" b="8917"/>
                    <a:stretch>
                      <a:fillRect/>
                    </a:stretch>
                  </pic:blipFill>
                  <pic:spPr bwMode="auto">
                    <a:xfrm>
                      <a:off x="0" y="0"/>
                      <a:ext cx="1311910" cy="847725"/>
                    </a:xfrm>
                    <a:prstGeom prst="rect">
                      <a:avLst/>
                    </a:prstGeom>
                    <a:solidFill>
                      <a:srgbClr val="0000FF"/>
                    </a:solidFill>
                    <a:ln w="9525">
                      <a:noFill/>
                      <a:miter lim="800000"/>
                      <a:headEnd/>
                      <a:tailEnd/>
                    </a:ln>
                  </pic:spPr>
                </pic:pic>
              </a:graphicData>
            </a:graphic>
          </wp:anchor>
        </w:drawing>
      </w:r>
    </w:p>
    <w:p w:rsidR="0061526C" w:rsidRPr="00AC4502" w:rsidRDefault="0061526C" w:rsidP="0061526C">
      <w:pPr>
        <w:tabs>
          <w:tab w:val="left" w:pos="709"/>
        </w:tabs>
        <w:spacing w:line="360" w:lineRule="auto"/>
        <w:jc w:val="center"/>
        <w:rPr>
          <w:b/>
          <w:i/>
          <w:sz w:val="32"/>
          <w:szCs w:val="32"/>
        </w:rPr>
      </w:pPr>
      <w:r w:rsidRPr="00AC4502">
        <w:rPr>
          <w:i/>
        </w:rPr>
        <w:t>Grupo Parlamentar</w:t>
      </w:r>
    </w:p>
    <w:p w:rsidR="0061526C" w:rsidRPr="00483206" w:rsidRDefault="0061526C" w:rsidP="00483206">
      <w:pPr>
        <w:pStyle w:val="Padro"/>
        <w:spacing w:before="120" w:line="360" w:lineRule="auto"/>
        <w:ind w:firstLine="709"/>
        <w:jc w:val="center"/>
        <w:rPr>
          <w:rFonts w:ascii="Cambria" w:hAnsi="Cambria"/>
          <w:b/>
          <w:bCs/>
          <w:sz w:val="28"/>
        </w:rPr>
      </w:pPr>
    </w:p>
    <w:p w:rsidR="00483206" w:rsidRDefault="0073309D" w:rsidP="00483206">
      <w:pPr>
        <w:spacing w:before="120" w:line="360" w:lineRule="auto"/>
        <w:jc w:val="center"/>
        <w:rPr>
          <w:rFonts w:ascii="Cambria" w:hAnsi="Cambria"/>
          <w:b/>
          <w:sz w:val="28"/>
          <w:szCs w:val="24"/>
        </w:rPr>
      </w:pPr>
      <w:r>
        <w:rPr>
          <w:rFonts w:ascii="Cambria" w:hAnsi="Cambria"/>
          <w:b/>
          <w:sz w:val="28"/>
          <w:szCs w:val="24"/>
        </w:rPr>
        <w:t>PROJETO DE RESOLUÇÃO</w:t>
      </w:r>
      <w:r w:rsidRPr="00483206">
        <w:rPr>
          <w:rFonts w:ascii="Cambria" w:hAnsi="Cambria"/>
          <w:b/>
          <w:sz w:val="28"/>
          <w:szCs w:val="24"/>
        </w:rPr>
        <w:t xml:space="preserve"> </w:t>
      </w:r>
      <w:r w:rsidR="00483206" w:rsidRPr="00483206">
        <w:rPr>
          <w:rFonts w:ascii="Cambria" w:hAnsi="Cambria"/>
          <w:b/>
          <w:sz w:val="28"/>
          <w:szCs w:val="24"/>
        </w:rPr>
        <w:t>Nº</w:t>
      </w:r>
      <w:r w:rsidR="00825807">
        <w:rPr>
          <w:rFonts w:ascii="Cambria" w:hAnsi="Cambria"/>
          <w:b/>
          <w:sz w:val="28"/>
          <w:szCs w:val="24"/>
        </w:rPr>
        <w:t xml:space="preserve"> 205</w:t>
      </w:r>
      <w:bookmarkStart w:id="0" w:name="_GoBack"/>
      <w:bookmarkEnd w:id="0"/>
      <w:r w:rsidR="00483206" w:rsidRPr="00483206">
        <w:rPr>
          <w:rFonts w:ascii="Cambria" w:hAnsi="Cambria"/>
          <w:b/>
          <w:sz w:val="28"/>
          <w:szCs w:val="24"/>
        </w:rPr>
        <w:t>/X</w:t>
      </w:r>
      <w:r w:rsidR="0098254A">
        <w:rPr>
          <w:rFonts w:ascii="Cambria" w:hAnsi="Cambria"/>
          <w:b/>
          <w:sz w:val="28"/>
          <w:szCs w:val="24"/>
        </w:rPr>
        <w:t>I</w:t>
      </w:r>
      <w:r w:rsidR="00B855B1">
        <w:rPr>
          <w:rFonts w:ascii="Cambria" w:hAnsi="Cambria"/>
          <w:b/>
          <w:sz w:val="28"/>
          <w:szCs w:val="24"/>
        </w:rPr>
        <w:t>V</w:t>
      </w:r>
      <w:r w:rsidR="00483206" w:rsidRPr="00483206">
        <w:rPr>
          <w:rFonts w:ascii="Cambria" w:hAnsi="Cambria"/>
          <w:b/>
          <w:sz w:val="28"/>
          <w:szCs w:val="24"/>
        </w:rPr>
        <w:t>/1ª</w:t>
      </w:r>
    </w:p>
    <w:p w:rsidR="00483206" w:rsidRPr="00483206" w:rsidRDefault="00483206" w:rsidP="00483206">
      <w:pPr>
        <w:spacing w:before="120" w:line="360" w:lineRule="auto"/>
        <w:jc w:val="center"/>
        <w:rPr>
          <w:rFonts w:ascii="Cambria" w:hAnsi="Cambria"/>
          <w:b/>
          <w:sz w:val="28"/>
          <w:szCs w:val="24"/>
        </w:rPr>
      </w:pPr>
    </w:p>
    <w:p w:rsidR="00483206" w:rsidRDefault="00093E10" w:rsidP="00483206">
      <w:pPr>
        <w:spacing w:before="120" w:line="360" w:lineRule="auto"/>
        <w:jc w:val="center"/>
        <w:rPr>
          <w:rFonts w:ascii="Cambria" w:hAnsi="Cambria"/>
          <w:b/>
          <w:sz w:val="28"/>
          <w:szCs w:val="24"/>
        </w:rPr>
      </w:pPr>
      <w:r>
        <w:rPr>
          <w:rFonts w:ascii="Cambria" w:hAnsi="Cambria"/>
          <w:b/>
          <w:sz w:val="28"/>
          <w:szCs w:val="24"/>
        </w:rPr>
        <w:t>CONCURSO EXTRAORDINÁRIO PARA</w:t>
      </w:r>
      <w:r w:rsidR="00AE7FA9">
        <w:rPr>
          <w:rFonts w:ascii="Cambria" w:hAnsi="Cambria"/>
          <w:b/>
          <w:sz w:val="28"/>
          <w:szCs w:val="24"/>
        </w:rPr>
        <w:t xml:space="preserve"> PROVIMENTO DE</w:t>
      </w:r>
      <w:r>
        <w:rPr>
          <w:rFonts w:ascii="Cambria" w:hAnsi="Cambria"/>
          <w:b/>
          <w:sz w:val="28"/>
          <w:szCs w:val="24"/>
        </w:rPr>
        <w:t xml:space="preserve"> LUGARES VAGOS </w:t>
      </w:r>
      <w:r w:rsidR="00AE7FA9">
        <w:rPr>
          <w:rFonts w:ascii="Cambria" w:hAnsi="Cambria"/>
          <w:b/>
          <w:sz w:val="28"/>
          <w:szCs w:val="24"/>
        </w:rPr>
        <w:t>DAS ENTIDADES INTEGRADAS NO MINISTÉRIO DA CULTURA</w:t>
      </w:r>
    </w:p>
    <w:p w:rsidR="00D40998" w:rsidRPr="00483206" w:rsidRDefault="00D40998" w:rsidP="00483206">
      <w:pPr>
        <w:spacing w:before="120" w:line="360" w:lineRule="auto"/>
        <w:jc w:val="center"/>
        <w:rPr>
          <w:rFonts w:ascii="Cambria" w:hAnsi="Cambria"/>
          <w:b/>
          <w:sz w:val="28"/>
          <w:szCs w:val="24"/>
        </w:rPr>
      </w:pPr>
    </w:p>
    <w:p w:rsidR="00093E10" w:rsidRDefault="00093E10" w:rsidP="00FE2D1C">
      <w:pPr>
        <w:spacing w:before="240" w:line="360" w:lineRule="auto"/>
        <w:jc w:val="both"/>
        <w:rPr>
          <w:rFonts w:ascii="Cambria" w:hAnsi="Cambria"/>
          <w:sz w:val="24"/>
          <w:szCs w:val="24"/>
        </w:rPr>
      </w:pPr>
      <w:r>
        <w:rPr>
          <w:rFonts w:ascii="Cambria" w:hAnsi="Cambria"/>
          <w:sz w:val="24"/>
          <w:szCs w:val="24"/>
        </w:rPr>
        <w:t xml:space="preserve">Os serviços integrados e unidades orgânicas do Ministério da Cultura vivem um regime de subfinanciamento crónico há mais de uma década. Um dos reflexos diretos desta situação é o envelhecimento e perda de profissionais para a reforma, profissionais que não são substituídos nem têm a possibilidade de passar o seu conhecimento para novas gerações. Entre funções administrativas e cargos especializados, esta situação é transversal a toda a estrutura de serviços públicos sob tutela do Ministério da Cultura. </w:t>
      </w:r>
    </w:p>
    <w:p w:rsidR="00093E10" w:rsidRDefault="00B15735" w:rsidP="00FE2D1C">
      <w:pPr>
        <w:spacing w:before="240" w:line="360" w:lineRule="auto"/>
        <w:jc w:val="both"/>
        <w:rPr>
          <w:rFonts w:ascii="Cambria" w:hAnsi="Cambria"/>
          <w:sz w:val="24"/>
          <w:szCs w:val="24"/>
        </w:rPr>
      </w:pPr>
      <w:r>
        <w:rPr>
          <w:rFonts w:ascii="Cambria" w:hAnsi="Cambria"/>
          <w:sz w:val="24"/>
          <w:szCs w:val="24"/>
        </w:rPr>
        <w:t xml:space="preserve">Apesar do enorme défice de trabalhadores na própria Direção-Geral do Património Cultural, nunca foi tomada qualquer iniciativa para o lançamento de um concurso extraordinário para recrutamento das vagas que ficam por preencher ano após ano, colocando em causa as obrigações legais dos próprios serviços. </w:t>
      </w:r>
    </w:p>
    <w:p w:rsidR="00B15735" w:rsidRDefault="00B15735" w:rsidP="00FE2D1C">
      <w:pPr>
        <w:spacing w:before="240" w:line="360" w:lineRule="auto"/>
        <w:jc w:val="both"/>
        <w:rPr>
          <w:rFonts w:ascii="Cambria" w:hAnsi="Cambria"/>
          <w:sz w:val="24"/>
          <w:szCs w:val="24"/>
        </w:rPr>
      </w:pPr>
      <w:r>
        <w:rPr>
          <w:rFonts w:ascii="Cambria" w:hAnsi="Cambria"/>
          <w:sz w:val="24"/>
          <w:szCs w:val="24"/>
        </w:rPr>
        <w:t xml:space="preserve">Em comunicado público de novembro de 2019, o Sindicato dos Trabalhadores de Arqueologia denunciava “a generalização dos deferimentos tácitos no que respeita aos pedidos de autorizações para trabalhos arqueológicos e, um incumprimento de prazos na apreciação de relatórios de trabalhos arqueológicos e de processos de obras e operações urbanísticas em áreas e imóveis classificados”. </w:t>
      </w:r>
    </w:p>
    <w:p w:rsidR="00752471" w:rsidRDefault="00752471" w:rsidP="00FE2D1C">
      <w:pPr>
        <w:spacing w:before="240" w:line="360" w:lineRule="auto"/>
        <w:jc w:val="both"/>
        <w:rPr>
          <w:rFonts w:ascii="Cambria" w:hAnsi="Cambria"/>
          <w:sz w:val="24"/>
          <w:szCs w:val="24"/>
        </w:rPr>
      </w:pPr>
      <w:r>
        <w:rPr>
          <w:rFonts w:ascii="Cambria" w:hAnsi="Cambria"/>
          <w:sz w:val="24"/>
          <w:szCs w:val="24"/>
        </w:rPr>
        <w:t xml:space="preserve">Significa isto que a salvaguarda do património arqueológico é uma função que o Estado simplesmente não consegue garantir, devido não só ao </w:t>
      </w:r>
      <w:proofErr w:type="gramStart"/>
      <w:r>
        <w:rPr>
          <w:rFonts w:ascii="Cambria" w:hAnsi="Cambria"/>
          <w:sz w:val="24"/>
          <w:szCs w:val="24"/>
        </w:rPr>
        <w:t>subfinanciamento</w:t>
      </w:r>
      <w:proofErr w:type="gramEnd"/>
      <w:r>
        <w:rPr>
          <w:rFonts w:ascii="Cambria" w:hAnsi="Cambria"/>
          <w:sz w:val="24"/>
          <w:szCs w:val="24"/>
        </w:rPr>
        <w:t xml:space="preserve"> mas, sobretudo, à falta de recursos humanos.</w:t>
      </w:r>
    </w:p>
    <w:p w:rsidR="00752471" w:rsidRDefault="00B15735" w:rsidP="00FE2D1C">
      <w:pPr>
        <w:spacing w:before="240" w:line="360" w:lineRule="auto"/>
        <w:jc w:val="both"/>
        <w:rPr>
          <w:rFonts w:ascii="Cambria" w:hAnsi="Cambria"/>
          <w:sz w:val="24"/>
          <w:szCs w:val="24"/>
        </w:rPr>
      </w:pPr>
      <w:r>
        <w:rPr>
          <w:rFonts w:ascii="Cambria" w:hAnsi="Cambria"/>
          <w:sz w:val="24"/>
          <w:szCs w:val="24"/>
        </w:rPr>
        <w:t>O problema não se resume à Direção-Geral do Património Cultural, sendo visível em inúmeros museus, monumentos e palácios onde não há recursos humanos para garantir funções básicas de vigilância ou horários completos de abertura ao público.</w:t>
      </w:r>
      <w:r w:rsidR="00480E91">
        <w:rPr>
          <w:rFonts w:ascii="Cambria" w:hAnsi="Cambria"/>
          <w:sz w:val="24"/>
          <w:szCs w:val="24"/>
        </w:rPr>
        <w:t xml:space="preserve"> E não será o </w:t>
      </w:r>
      <w:r w:rsidR="00480E91">
        <w:rPr>
          <w:rFonts w:ascii="Cambria" w:hAnsi="Cambria"/>
          <w:sz w:val="24"/>
          <w:szCs w:val="24"/>
        </w:rPr>
        <w:lastRenderedPageBreak/>
        <w:t xml:space="preserve">novo regime de autonomia de gestão dos museus, monumentos e palácios que irá resolver o problema. </w:t>
      </w:r>
    </w:p>
    <w:p w:rsidR="00752471" w:rsidRDefault="00752471" w:rsidP="00FE2D1C">
      <w:pPr>
        <w:spacing w:before="240" w:line="360" w:lineRule="auto"/>
        <w:jc w:val="both"/>
        <w:rPr>
          <w:rFonts w:ascii="Cambria" w:hAnsi="Cambria"/>
          <w:sz w:val="24"/>
          <w:szCs w:val="24"/>
        </w:rPr>
      </w:pPr>
      <w:r>
        <w:rPr>
          <w:rFonts w:ascii="Cambria" w:hAnsi="Cambria"/>
          <w:sz w:val="24"/>
          <w:szCs w:val="24"/>
        </w:rPr>
        <w:t>Também na Direção-Geral do Livro, Arquivo e Bibliotecas, o ponto de rutura pode já ter sido ultrapassado. A título de exemplo, a Biblioteca Nacional de Portugal tem hoje apenas um encadernador em funções que se aproxima do final da carreira</w:t>
      </w:r>
      <w:r w:rsidR="00480E91">
        <w:rPr>
          <w:rFonts w:ascii="Cambria" w:hAnsi="Cambria"/>
          <w:sz w:val="24"/>
          <w:szCs w:val="24"/>
        </w:rPr>
        <w:t xml:space="preserve"> e sem ninguém a quem poder passar conhecimento especializado. </w:t>
      </w:r>
    </w:p>
    <w:p w:rsidR="00480E91" w:rsidRDefault="00480E91" w:rsidP="00FE2D1C">
      <w:pPr>
        <w:spacing w:before="240" w:line="360" w:lineRule="auto"/>
        <w:jc w:val="both"/>
        <w:rPr>
          <w:rFonts w:ascii="Cambria" w:hAnsi="Cambria"/>
          <w:sz w:val="24"/>
          <w:szCs w:val="24"/>
        </w:rPr>
      </w:pPr>
      <w:r>
        <w:rPr>
          <w:rFonts w:ascii="Cambria" w:hAnsi="Cambria"/>
          <w:sz w:val="24"/>
          <w:szCs w:val="24"/>
        </w:rPr>
        <w:t xml:space="preserve">Os serviços públicos de Cultura têm perdido conhecimento e recursos técnicos e profissionais, funcionando com quadros envelhecidos e contratações precárias para iniciativas pontuais. Perante esta situação insustentável e conhecendo os tempos longos que os concursos de recrutamento levam, o Bloco de Esquerda considera necessário o lançamento de um concurso extraordinário para preenchimento dos lugares vagos dos quadros dos serviços e unidades orgânicas do Ministério da Cultura. </w:t>
      </w:r>
    </w:p>
    <w:p w:rsidR="0073309D" w:rsidRDefault="00093E10" w:rsidP="00D40998">
      <w:pPr>
        <w:spacing w:before="240" w:line="360" w:lineRule="auto"/>
        <w:jc w:val="both"/>
        <w:rPr>
          <w:rFonts w:ascii="Cambria" w:hAnsi="Cambria"/>
          <w:i/>
          <w:sz w:val="24"/>
          <w:szCs w:val="24"/>
        </w:rPr>
      </w:pPr>
      <w:r>
        <w:rPr>
          <w:rFonts w:ascii="Cambria" w:hAnsi="Cambria"/>
          <w:sz w:val="24"/>
          <w:szCs w:val="24"/>
        </w:rPr>
        <w:t xml:space="preserve"> </w:t>
      </w:r>
      <w:r w:rsidR="00483206" w:rsidRPr="00483206">
        <w:rPr>
          <w:rFonts w:ascii="Cambria" w:hAnsi="Cambria"/>
          <w:sz w:val="24"/>
          <w:szCs w:val="24"/>
        </w:rPr>
        <w:t xml:space="preserve">    </w:t>
      </w:r>
      <w:r w:rsidR="0073309D" w:rsidRPr="008F7C3B">
        <w:rPr>
          <w:rFonts w:ascii="Cambria" w:hAnsi="Cambria"/>
          <w:i/>
          <w:sz w:val="24"/>
          <w:szCs w:val="24"/>
        </w:rPr>
        <w:t>Ao abrigo das disposições constitucionais e regimentais aplicáveis, o Grupo Parlamentar do Bloco de Esquerda propõe que a Assembleia da República recomende ao Governo que:</w:t>
      </w:r>
    </w:p>
    <w:p w:rsidR="00483206" w:rsidRDefault="00AE7FA9" w:rsidP="0073309D">
      <w:pPr>
        <w:numPr>
          <w:ilvl w:val="0"/>
          <w:numId w:val="7"/>
        </w:numPr>
        <w:spacing w:before="240" w:line="360" w:lineRule="auto"/>
        <w:ind w:left="426" w:hanging="426"/>
        <w:jc w:val="both"/>
        <w:rPr>
          <w:rFonts w:ascii="Cambria" w:hAnsi="Cambria"/>
          <w:sz w:val="24"/>
          <w:szCs w:val="24"/>
        </w:rPr>
      </w:pPr>
      <w:r>
        <w:rPr>
          <w:rFonts w:ascii="Cambria" w:hAnsi="Cambria"/>
          <w:sz w:val="24"/>
          <w:szCs w:val="24"/>
        </w:rPr>
        <w:t xml:space="preserve">As entidades integradas no Ministério da Cultura, nomeadamente serviços e fundos autónomos, têm autonomia para o lançamento de procedimentos </w:t>
      </w:r>
      <w:proofErr w:type="spellStart"/>
      <w:r>
        <w:rPr>
          <w:rFonts w:ascii="Cambria" w:hAnsi="Cambria"/>
          <w:sz w:val="24"/>
          <w:szCs w:val="24"/>
        </w:rPr>
        <w:t>concursais</w:t>
      </w:r>
      <w:proofErr w:type="spellEnd"/>
      <w:r>
        <w:rPr>
          <w:rFonts w:ascii="Cambria" w:hAnsi="Cambria"/>
          <w:sz w:val="24"/>
          <w:szCs w:val="24"/>
        </w:rPr>
        <w:t xml:space="preserve"> extraordinários para provimento de lugares vagos nos quadros; </w:t>
      </w:r>
    </w:p>
    <w:p w:rsidR="0073309D" w:rsidRDefault="00AE7FA9" w:rsidP="0073309D">
      <w:pPr>
        <w:numPr>
          <w:ilvl w:val="0"/>
          <w:numId w:val="7"/>
        </w:numPr>
        <w:spacing w:before="240" w:line="360" w:lineRule="auto"/>
        <w:ind w:left="426" w:hanging="426"/>
        <w:jc w:val="both"/>
        <w:rPr>
          <w:rFonts w:ascii="Cambria" w:hAnsi="Cambria"/>
          <w:sz w:val="24"/>
          <w:szCs w:val="24"/>
        </w:rPr>
      </w:pPr>
      <w:r>
        <w:rPr>
          <w:rFonts w:ascii="Cambria" w:hAnsi="Cambria"/>
          <w:sz w:val="24"/>
          <w:szCs w:val="24"/>
        </w:rPr>
        <w:t>As contratações efetuadas ao abrigo do disposto no número anterior não dependem de autorização prévia da tutela.</w:t>
      </w:r>
    </w:p>
    <w:p w:rsidR="0073309D" w:rsidRPr="00483206" w:rsidRDefault="0073309D" w:rsidP="0073309D">
      <w:pPr>
        <w:spacing w:before="240" w:line="360" w:lineRule="auto"/>
        <w:jc w:val="both"/>
        <w:rPr>
          <w:rFonts w:ascii="Cambria" w:hAnsi="Cambria"/>
          <w:sz w:val="24"/>
          <w:szCs w:val="24"/>
        </w:rPr>
      </w:pPr>
    </w:p>
    <w:p w:rsidR="004C641F" w:rsidRPr="00483206" w:rsidRDefault="004C641F" w:rsidP="00483206">
      <w:pPr>
        <w:spacing w:before="120" w:line="360" w:lineRule="auto"/>
        <w:jc w:val="center"/>
        <w:rPr>
          <w:rFonts w:ascii="Cambria" w:hAnsi="Cambria"/>
          <w:sz w:val="24"/>
          <w:szCs w:val="24"/>
        </w:rPr>
      </w:pPr>
      <w:r w:rsidRPr="00483206">
        <w:rPr>
          <w:rFonts w:ascii="Cambria" w:hAnsi="Cambria"/>
          <w:sz w:val="24"/>
          <w:szCs w:val="24"/>
        </w:rPr>
        <w:t xml:space="preserve">Assembleia da República, </w:t>
      </w:r>
      <w:r w:rsidR="00AE7FA9">
        <w:rPr>
          <w:rFonts w:ascii="Cambria" w:hAnsi="Cambria"/>
          <w:sz w:val="24"/>
          <w:szCs w:val="24"/>
        </w:rPr>
        <w:t>29</w:t>
      </w:r>
      <w:r w:rsidR="00FF32BA" w:rsidRPr="00483206">
        <w:rPr>
          <w:rFonts w:ascii="Cambria" w:hAnsi="Cambria"/>
          <w:sz w:val="24"/>
          <w:szCs w:val="24"/>
        </w:rPr>
        <w:t xml:space="preserve"> </w:t>
      </w:r>
      <w:r w:rsidR="00DA5AD0" w:rsidRPr="00483206">
        <w:rPr>
          <w:rFonts w:ascii="Cambria" w:hAnsi="Cambria"/>
          <w:sz w:val="24"/>
          <w:szCs w:val="24"/>
        </w:rPr>
        <w:t xml:space="preserve">de </w:t>
      </w:r>
      <w:r w:rsidR="00AE7FA9">
        <w:rPr>
          <w:rFonts w:ascii="Cambria" w:hAnsi="Cambria"/>
          <w:sz w:val="24"/>
          <w:szCs w:val="24"/>
        </w:rPr>
        <w:t>janeiro</w:t>
      </w:r>
      <w:r w:rsidR="009354F0" w:rsidRPr="00483206">
        <w:rPr>
          <w:rFonts w:ascii="Cambria" w:hAnsi="Cambria"/>
          <w:sz w:val="24"/>
          <w:szCs w:val="24"/>
        </w:rPr>
        <w:t xml:space="preserve"> de </w:t>
      </w:r>
      <w:r w:rsidR="00AE7FA9">
        <w:rPr>
          <w:rFonts w:ascii="Cambria" w:hAnsi="Cambria"/>
          <w:sz w:val="24"/>
          <w:szCs w:val="24"/>
        </w:rPr>
        <w:t>2020</w:t>
      </w:r>
      <w:r w:rsidRPr="00483206">
        <w:rPr>
          <w:rFonts w:ascii="Cambria" w:hAnsi="Cambria"/>
          <w:sz w:val="24"/>
          <w:szCs w:val="24"/>
        </w:rPr>
        <w:t>.</w:t>
      </w:r>
    </w:p>
    <w:p w:rsidR="00B12A17" w:rsidRDefault="004C641F" w:rsidP="0098254A">
      <w:pPr>
        <w:spacing w:before="120" w:line="360" w:lineRule="auto"/>
        <w:jc w:val="center"/>
        <w:rPr>
          <w:rFonts w:ascii="Cambria" w:hAnsi="Cambria" w:cs="Cambria"/>
          <w:noProof/>
          <w:szCs w:val="26"/>
        </w:rPr>
      </w:pPr>
      <w:r w:rsidRPr="00483206">
        <w:rPr>
          <w:rFonts w:ascii="Cambria" w:hAnsi="Cambria"/>
          <w:sz w:val="24"/>
          <w:szCs w:val="24"/>
        </w:rPr>
        <w:t>As Deputadas e os Deputados do Bloco de Esquerda,</w:t>
      </w:r>
    </w:p>
    <w:p w:rsidR="00D40998" w:rsidRDefault="00D40998" w:rsidP="00D40998">
      <w:pPr>
        <w:widowControl w:val="0"/>
        <w:tabs>
          <w:tab w:val="left" w:pos="0"/>
        </w:tabs>
        <w:spacing w:before="120"/>
        <w:rPr>
          <w:rFonts w:ascii="Cambria" w:hAnsi="Cambria" w:cs="Cambria"/>
          <w:noProof/>
          <w:szCs w:val="26"/>
        </w:rPr>
      </w:pPr>
    </w:p>
    <w:p w:rsidR="00D40998" w:rsidRDefault="00D40998" w:rsidP="00D40998">
      <w:pPr>
        <w:spacing w:before="120" w:line="360" w:lineRule="auto"/>
        <w:jc w:val="center"/>
        <w:rPr>
          <w:rFonts w:ascii="Cambria" w:hAnsi="Cambria"/>
          <w:sz w:val="24"/>
          <w:szCs w:val="24"/>
        </w:rPr>
      </w:pPr>
      <w:r w:rsidRPr="00575D2D">
        <w:rPr>
          <w:rFonts w:ascii="Cambria" w:hAnsi="Cambria"/>
          <w:sz w:val="24"/>
          <w:szCs w:val="24"/>
        </w:rPr>
        <w:t>Beatriz Dias; Alexandra Vieira;</w:t>
      </w:r>
      <w:r>
        <w:rPr>
          <w:rFonts w:ascii="Cambria" w:hAnsi="Cambria"/>
          <w:sz w:val="24"/>
          <w:szCs w:val="24"/>
        </w:rPr>
        <w:t xml:space="preserve"> </w:t>
      </w:r>
      <w:r w:rsidRPr="00575D2D">
        <w:rPr>
          <w:rFonts w:ascii="Cambria" w:hAnsi="Cambria"/>
          <w:sz w:val="24"/>
          <w:szCs w:val="24"/>
        </w:rPr>
        <w:t>Pedro Filipe Soares; Mariana Mortágua; Jorge Costa;</w:t>
      </w:r>
    </w:p>
    <w:p w:rsidR="00D40998" w:rsidRDefault="00D40998" w:rsidP="00D40998">
      <w:pPr>
        <w:spacing w:before="120" w:line="360" w:lineRule="auto"/>
        <w:jc w:val="center"/>
        <w:rPr>
          <w:rFonts w:ascii="Cambria" w:hAnsi="Cambria"/>
          <w:sz w:val="24"/>
          <w:szCs w:val="24"/>
        </w:rPr>
      </w:pPr>
      <w:r w:rsidRPr="00575D2D">
        <w:rPr>
          <w:rFonts w:ascii="Cambria" w:hAnsi="Cambria"/>
          <w:sz w:val="24"/>
          <w:szCs w:val="24"/>
        </w:rPr>
        <w:t>Fabíola Cardoso; Isabel Pires; Joana Mortágua; João Vasconcelos;</w:t>
      </w:r>
      <w:r>
        <w:rPr>
          <w:rFonts w:ascii="Cambria" w:hAnsi="Cambria"/>
          <w:sz w:val="24"/>
          <w:szCs w:val="24"/>
        </w:rPr>
        <w:t xml:space="preserve"> </w:t>
      </w:r>
      <w:r w:rsidRPr="00575D2D">
        <w:rPr>
          <w:rFonts w:ascii="Cambria" w:hAnsi="Cambria"/>
          <w:sz w:val="24"/>
          <w:szCs w:val="24"/>
        </w:rPr>
        <w:t>José Manuel Pureza;</w:t>
      </w:r>
    </w:p>
    <w:p w:rsidR="00D40998" w:rsidRDefault="00D40998" w:rsidP="00D40998">
      <w:pPr>
        <w:spacing w:before="120" w:line="360" w:lineRule="auto"/>
        <w:jc w:val="center"/>
        <w:rPr>
          <w:rFonts w:ascii="Cambria" w:hAnsi="Cambria"/>
          <w:sz w:val="24"/>
          <w:szCs w:val="24"/>
        </w:rPr>
      </w:pPr>
      <w:r w:rsidRPr="00575D2D">
        <w:rPr>
          <w:rFonts w:ascii="Cambria" w:hAnsi="Cambria"/>
          <w:sz w:val="24"/>
          <w:szCs w:val="24"/>
        </w:rPr>
        <w:t>José Maria Cardoso; José Soeiro; Luís Monteiro;</w:t>
      </w:r>
      <w:r>
        <w:rPr>
          <w:rFonts w:ascii="Cambria" w:hAnsi="Cambria"/>
          <w:sz w:val="24"/>
          <w:szCs w:val="24"/>
        </w:rPr>
        <w:t xml:space="preserve"> </w:t>
      </w:r>
      <w:r w:rsidRPr="00575D2D">
        <w:rPr>
          <w:rFonts w:ascii="Cambria" w:hAnsi="Cambria"/>
          <w:sz w:val="24"/>
          <w:szCs w:val="24"/>
        </w:rPr>
        <w:t>Maria Manuel Rola; Moisés Ferreira;</w:t>
      </w:r>
    </w:p>
    <w:p w:rsidR="00D40998" w:rsidRPr="00575D2D" w:rsidRDefault="00D40998" w:rsidP="00D40998">
      <w:pPr>
        <w:spacing w:before="120" w:line="360" w:lineRule="auto"/>
        <w:jc w:val="center"/>
        <w:rPr>
          <w:rFonts w:ascii="Cambria" w:hAnsi="Cambria"/>
          <w:sz w:val="24"/>
          <w:szCs w:val="24"/>
        </w:rPr>
      </w:pPr>
      <w:r w:rsidRPr="00575D2D">
        <w:rPr>
          <w:rFonts w:ascii="Cambria" w:hAnsi="Cambria"/>
          <w:sz w:val="24"/>
          <w:szCs w:val="24"/>
        </w:rPr>
        <w:t>N</w:t>
      </w:r>
      <w:r>
        <w:rPr>
          <w:rFonts w:ascii="Cambria" w:hAnsi="Cambria"/>
          <w:sz w:val="24"/>
          <w:szCs w:val="24"/>
        </w:rPr>
        <w:t>e</w:t>
      </w:r>
      <w:r w:rsidRPr="00575D2D">
        <w:rPr>
          <w:rFonts w:ascii="Cambria" w:hAnsi="Cambria"/>
          <w:sz w:val="24"/>
          <w:szCs w:val="24"/>
        </w:rPr>
        <w:t>lson Peralta; Ricardo Vicente; Sandra Cunha; Catarina Martins</w:t>
      </w:r>
    </w:p>
    <w:p w:rsidR="00D40998" w:rsidRDefault="00D40998" w:rsidP="00D40998">
      <w:pPr>
        <w:widowControl w:val="0"/>
        <w:tabs>
          <w:tab w:val="left" w:pos="0"/>
        </w:tabs>
        <w:spacing w:before="120"/>
        <w:rPr>
          <w:rFonts w:ascii="Cambria" w:hAnsi="Cambria" w:cs="Cambria"/>
          <w:noProof/>
          <w:szCs w:val="26"/>
        </w:rPr>
        <w:sectPr w:rsidR="00D40998" w:rsidSect="0048320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708"/>
          <w:docGrid w:linePitch="360"/>
        </w:sectPr>
      </w:pPr>
    </w:p>
    <w:p w:rsidR="00B12A17" w:rsidRDefault="00B12A17" w:rsidP="00B12A17">
      <w:pPr>
        <w:widowControl w:val="0"/>
        <w:tabs>
          <w:tab w:val="left" w:pos="0"/>
        </w:tabs>
        <w:spacing w:before="120"/>
        <w:rPr>
          <w:rFonts w:ascii="Cambria" w:hAnsi="Cambria" w:cs="Cambria"/>
          <w:szCs w:val="26"/>
        </w:rPr>
      </w:pPr>
    </w:p>
    <w:sectPr w:rsidR="00B12A17" w:rsidSect="00B12A17">
      <w:type w:val="continuous"/>
      <w:pgSz w:w="11906" w:h="16838" w:code="9"/>
      <w:pgMar w:top="1418" w:right="1418" w:bottom="1134" w:left="2835" w:header="709"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B21" w:rsidRDefault="006C3B21" w:rsidP="00E03557">
      <w:r>
        <w:separator/>
      </w:r>
    </w:p>
  </w:endnote>
  <w:endnote w:type="continuationSeparator" w:id="0">
    <w:p w:rsidR="006C3B21" w:rsidRDefault="006C3B21" w:rsidP="00E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rsidR="00E77F39" w:rsidRPr="00980180" w:rsidRDefault="00E77F39" w:rsidP="00FF32BA">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D40998">
      <w:rPr>
        <w:rFonts w:ascii="Cambria" w:hAnsi="Cambria" w:cs="Calibri"/>
        <w:noProof/>
        <w:color w:val="D3454F"/>
        <w:sz w:val="28"/>
        <w:szCs w:val="28"/>
        <w:lang w:val="en-US" w:eastAsia="zh-TW"/>
      </w:rPr>
      <mc:AlternateContent>
        <mc:Choice Requires="wps">
          <w:drawing>
            <wp:anchor distT="0" distB="0" distL="114300" distR="114300" simplePos="0" relativeHeight="251657728" behindDoc="0" locked="0" layoutInCell="1" allowOverlap="1">
              <wp:simplePos x="0" y="0"/>
              <wp:positionH relativeFrom="page">
                <wp:posOffset>6853555</wp:posOffset>
              </wp:positionH>
              <wp:positionV relativeFrom="page">
                <wp:posOffset>10100945</wp:posOffset>
              </wp:positionV>
              <wp:extent cx="512445" cy="441325"/>
              <wp:effectExtent l="0" t="4445" r="0" b="19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77F39" w:rsidRPr="00980180" w:rsidRDefault="00E77F39"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" filled="f" fillcolor="#4f81bd" stroked="f" strokecolor="#737373">
              <v:textbox>
                <w:txbxContent>
                  <w:p w:rsidR="00E77F39" w:rsidRPr="00980180" w:rsidRDefault="00E77F39"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B21" w:rsidRDefault="006C3B21" w:rsidP="00E03557">
      <w:r>
        <w:separator/>
      </w:r>
    </w:p>
  </w:footnote>
  <w:footnote w:type="continuationSeparator" w:id="0">
    <w:p w:rsidR="006C3B21" w:rsidRDefault="006C3B21" w:rsidP="00E0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39" w:rsidRDefault="00E77F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1CC"/>
    <w:multiLevelType w:val="hybridMultilevel"/>
    <w:tmpl w:val="4D74B6B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3A7F4C"/>
    <w:multiLevelType w:val="hybridMultilevel"/>
    <w:tmpl w:val="8FCAABE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3E5E78"/>
    <w:multiLevelType w:val="hybridMultilevel"/>
    <w:tmpl w:val="C5D643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5F35EBA"/>
    <w:multiLevelType w:val="hybridMultilevel"/>
    <w:tmpl w:val="7ED8826C"/>
    <w:lvl w:ilvl="0" w:tplc="54D4B490">
      <w:start w:val="1"/>
      <w:numFmt w:val="lowerLetter"/>
      <w:lvlText w:val="%1)"/>
      <w:lvlJc w:val="left"/>
      <w:pPr>
        <w:ind w:left="704" w:hanging="360"/>
      </w:pPr>
      <w:rPr>
        <w:rFonts w:hint="default"/>
      </w:rPr>
    </w:lvl>
    <w:lvl w:ilvl="1" w:tplc="08160019" w:tentative="1">
      <w:start w:val="1"/>
      <w:numFmt w:val="lowerLetter"/>
      <w:lvlText w:val="%2."/>
      <w:lvlJc w:val="left"/>
      <w:pPr>
        <w:ind w:left="1424" w:hanging="360"/>
      </w:pPr>
    </w:lvl>
    <w:lvl w:ilvl="2" w:tplc="0816001B" w:tentative="1">
      <w:start w:val="1"/>
      <w:numFmt w:val="lowerRoman"/>
      <w:lvlText w:val="%3."/>
      <w:lvlJc w:val="right"/>
      <w:pPr>
        <w:ind w:left="2144" w:hanging="180"/>
      </w:pPr>
    </w:lvl>
    <w:lvl w:ilvl="3" w:tplc="0816000F" w:tentative="1">
      <w:start w:val="1"/>
      <w:numFmt w:val="decimal"/>
      <w:lvlText w:val="%4."/>
      <w:lvlJc w:val="left"/>
      <w:pPr>
        <w:ind w:left="2864" w:hanging="360"/>
      </w:pPr>
    </w:lvl>
    <w:lvl w:ilvl="4" w:tplc="08160019" w:tentative="1">
      <w:start w:val="1"/>
      <w:numFmt w:val="lowerLetter"/>
      <w:lvlText w:val="%5."/>
      <w:lvlJc w:val="left"/>
      <w:pPr>
        <w:ind w:left="3584" w:hanging="360"/>
      </w:pPr>
    </w:lvl>
    <w:lvl w:ilvl="5" w:tplc="0816001B" w:tentative="1">
      <w:start w:val="1"/>
      <w:numFmt w:val="lowerRoman"/>
      <w:lvlText w:val="%6."/>
      <w:lvlJc w:val="right"/>
      <w:pPr>
        <w:ind w:left="4304" w:hanging="180"/>
      </w:pPr>
    </w:lvl>
    <w:lvl w:ilvl="6" w:tplc="0816000F" w:tentative="1">
      <w:start w:val="1"/>
      <w:numFmt w:val="decimal"/>
      <w:lvlText w:val="%7."/>
      <w:lvlJc w:val="left"/>
      <w:pPr>
        <w:ind w:left="5024" w:hanging="360"/>
      </w:pPr>
    </w:lvl>
    <w:lvl w:ilvl="7" w:tplc="08160019" w:tentative="1">
      <w:start w:val="1"/>
      <w:numFmt w:val="lowerLetter"/>
      <w:lvlText w:val="%8."/>
      <w:lvlJc w:val="left"/>
      <w:pPr>
        <w:ind w:left="5744" w:hanging="360"/>
      </w:pPr>
    </w:lvl>
    <w:lvl w:ilvl="8" w:tplc="0816001B" w:tentative="1">
      <w:start w:val="1"/>
      <w:numFmt w:val="lowerRoman"/>
      <w:lvlText w:val="%9."/>
      <w:lvlJc w:val="right"/>
      <w:pPr>
        <w:ind w:left="6464" w:hanging="180"/>
      </w:pPr>
    </w:lvl>
  </w:abstractNum>
  <w:abstractNum w:abstractNumId="4" w15:restartNumberingAfterBreak="0">
    <w:nsid w:val="3CB12094"/>
    <w:multiLevelType w:val="hybridMultilevel"/>
    <w:tmpl w:val="30429FA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FB329C0"/>
    <w:multiLevelType w:val="hybridMultilevel"/>
    <w:tmpl w:val="9CC81A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1360190"/>
    <w:multiLevelType w:val="hybridMultilevel"/>
    <w:tmpl w:val="8CAAF228"/>
    <w:lvl w:ilvl="0" w:tplc="031CB880">
      <w:start w:val="1"/>
      <w:numFmt w:val="decimal"/>
      <w:lvlText w:val="%1."/>
      <w:lvlJc w:val="left"/>
      <w:pPr>
        <w:ind w:left="780" w:hanging="4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5"/>
    <w:rsid w:val="000430DF"/>
    <w:rsid w:val="00076647"/>
    <w:rsid w:val="00093E10"/>
    <w:rsid w:val="000C1BEC"/>
    <w:rsid w:val="000F5361"/>
    <w:rsid w:val="001549E0"/>
    <w:rsid w:val="0016482F"/>
    <w:rsid w:val="00176D8E"/>
    <w:rsid w:val="001E782D"/>
    <w:rsid w:val="002C3817"/>
    <w:rsid w:val="002C7023"/>
    <w:rsid w:val="003170D6"/>
    <w:rsid w:val="00342772"/>
    <w:rsid w:val="0036232C"/>
    <w:rsid w:val="0037227A"/>
    <w:rsid w:val="0039301D"/>
    <w:rsid w:val="003C6645"/>
    <w:rsid w:val="003E36E5"/>
    <w:rsid w:val="004260BE"/>
    <w:rsid w:val="00480E91"/>
    <w:rsid w:val="00483206"/>
    <w:rsid w:val="004B19EF"/>
    <w:rsid w:val="004B2734"/>
    <w:rsid w:val="004C3562"/>
    <w:rsid w:val="004C641F"/>
    <w:rsid w:val="00557CEB"/>
    <w:rsid w:val="00590296"/>
    <w:rsid w:val="005A4979"/>
    <w:rsid w:val="005D144F"/>
    <w:rsid w:val="005E6465"/>
    <w:rsid w:val="0061526C"/>
    <w:rsid w:val="00617545"/>
    <w:rsid w:val="006C07F1"/>
    <w:rsid w:val="006C3B21"/>
    <w:rsid w:val="006E4CE3"/>
    <w:rsid w:val="0073309D"/>
    <w:rsid w:val="00752471"/>
    <w:rsid w:val="007F26B9"/>
    <w:rsid w:val="007F534B"/>
    <w:rsid w:val="008017DD"/>
    <w:rsid w:val="008042BC"/>
    <w:rsid w:val="00806D23"/>
    <w:rsid w:val="008206F7"/>
    <w:rsid w:val="00825807"/>
    <w:rsid w:val="00876B31"/>
    <w:rsid w:val="00883910"/>
    <w:rsid w:val="008A550B"/>
    <w:rsid w:val="00901FC3"/>
    <w:rsid w:val="009054BE"/>
    <w:rsid w:val="009354F0"/>
    <w:rsid w:val="0097518D"/>
    <w:rsid w:val="0098254A"/>
    <w:rsid w:val="009A66B5"/>
    <w:rsid w:val="00AE7FA9"/>
    <w:rsid w:val="00B12A17"/>
    <w:rsid w:val="00B15735"/>
    <w:rsid w:val="00B37DD8"/>
    <w:rsid w:val="00B855B1"/>
    <w:rsid w:val="00BA46D6"/>
    <w:rsid w:val="00BA4C4C"/>
    <w:rsid w:val="00BA75BD"/>
    <w:rsid w:val="00C85352"/>
    <w:rsid w:val="00D0040A"/>
    <w:rsid w:val="00D32ED0"/>
    <w:rsid w:val="00D35F25"/>
    <w:rsid w:val="00D40998"/>
    <w:rsid w:val="00D67DA9"/>
    <w:rsid w:val="00D86F03"/>
    <w:rsid w:val="00DA5AD0"/>
    <w:rsid w:val="00E03557"/>
    <w:rsid w:val="00E1127F"/>
    <w:rsid w:val="00E25C0D"/>
    <w:rsid w:val="00E26F9F"/>
    <w:rsid w:val="00E5334F"/>
    <w:rsid w:val="00E77F39"/>
    <w:rsid w:val="00EF2937"/>
    <w:rsid w:val="00FB2445"/>
    <w:rsid w:val="00FC2ACD"/>
    <w:rsid w:val="00FE2D1C"/>
    <w:rsid w:val="00FE7EC1"/>
    <w:rsid w:val="00FF32BA"/>
    <w:rsid w:val="00FF4B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C61C4"/>
  <w15:docId w15:val="{1A7FA0ED-FA02-4D5E-BDD4-F4741ED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F25"/>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647"/>
    <w:pPr>
      <w:spacing w:after="200" w:line="276" w:lineRule="auto"/>
      <w:ind w:left="720"/>
      <w:contextualSpacing/>
    </w:pPr>
    <w:rPr>
      <w:rFonts w:ascii="Calibri" w:eastAsia="Calibri" w:hAnsi="Calibri"/>
      <w:sz w:val="22"/>
      <w:szCs w:val="22"/>
      <w:lang w:eastAsia="en-US"/>
    </w:rPr>
  </w:style>
  <w:style w:type="paragraph" w:customStyle="1" w:styleId="Padro">
    <w:name w:val="Padrão"/>
    <w:rsid w:val="0061526C"/>
    <w:pPr>
      <w:widowControl w:val="0"/>
      <w:autoSpaceDE w:val="0"/>
      <w:autoSpaceDN w:val="0"/>
      <w:adjustRightInd w:val="0"/>
    </w:pPr>
    <w:rPr>
      <w:rFonts w:ascii="Times New Roman" w:eastAsia="Times New Roman" w:hAnsi="Times New Roman"/>
      <w:sz w:val="24"/>
      <w:szCs w:val="24"/>
    </w:rPr>
  </w:style>
  <w:style w:type="paragraph" w:styleId="Textodebalo">
    <w:name w:val="Balloon Text"/>
    <w:basedOn w:val="Normal"/>
    <w:link w:val="TextodebaloCarter"/>
    <w:uiPriority w:val="99"/>
    <w:semiHidden/>
    <w:unhideWhenUsed/>
    <w:rsid w:val="00B12A1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12A17"/>
    <w:rPr>
      <w:rFonts w:ascii="Tahoma" w:eastAsia="Times New Roman" w:hAnsi="Tahoma" w:cs="Tahoma"/>
      <w:sz w:val="16"/>
      <w:szCs w:val="16"/>
    </w:rPr>
  </w:style>
  <w:style w:type="paragraph" w:styleId="Cabealho">
    <w:name w:val="header"/>
    <w:basedOn w:val="Normal"/>
    <w:link w:val="CabealhoCarter"/>
    <w:uiPriority w:val="99"/>
    <w:semiHidden/>
    <w:unhideWhenUsed/>
    <w:rsid w:val="00E03557"/>
    <w:pPr>
      <w:tabs>
        <w:tab w:val="center" w:pos="4513"/>
        <w:tab w:val="right" w:pos="9026"/>
      </w:tabs>
    </w:pPr>
  </w:style>
  <w:style w:type="character" w:customStyle="1" w:styleId="CabealhoCarter">
    <w:name w:val="Cabeçalho Caráter"/>
    <w:basedOn w:val="Tipodeletrapredefinidodopargrafo"/>
    <w:link w:val="Cabealho"/>
    <w:uiPriority w:val="99"/>
    <w:semiHidden/>
    <w:rsid w:val="00E03557"/>
    <w:rPr>
      <w:rFonts w:ascii="Times New Roman" w:eastAsia="Times New Roman" w:hAnsi="Times New Roman"/>
    </w:rPr>
  </w:style>
  <w:style w:type="paragraph" w:styleId="Rodap">
    <w:name w:val="footer"/>
    <w:basedOn w:val="Normal"/>
    <w:link w:val="RodapCarter"/>
    <w:uiPriority w:val="99"/>
    <w:unhideWhenUsed/>
    <w:rsid w:val="00E03557"/>
    <w:pPr>
      <w:tabs>
        <w:tab w:val="center" w:pos="4513"/>
        <w:tab w:val="right" w:pos="9026"/>
      </w:tabs>
    </w:pPr>
  </w:style>
  <w:style w:type="character" w:customStyle="1" w:styleId="RodapCarter">
    <w:name w:val="Rodapé Caráter"/>
    <w:basedOn w:val="Tipodeletrapredefinidodopargrafo"/>
    <w:link w:val="Rodap"/>
    <w:uiPriority w:val="99"/>
    <w:rsid w:val="00E035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2020-01-30T00:00:00+00:00</DataDocumento>
    <IDFase xmlns="2e97e158-1a31-4bff-9a0a-f8ebffd34ea8">0</IDFase>
    <IDIniciativa xmlns="2e97e158-1a31-4bff-9a0a-f8ebffd34ea8">44375</IDIniciativa>
    <TipoDocumento xmlns="2e97e158-1a31-4bff-9a0a-f8ebffd34ea8">Texto</TipoDocumento>
    <NomeOriginalFicheiro xmlns="2e97e158-1a31-4bff-9a0a-f8ebffd34ea8">pjr205-XIV.docx</NomeOriginalFicheiro>
    <NROrdem xmlns="2e97e158-1a31-4bff-9a0a-f8ebffd34ea8">0</NROrdem>
    <PublicarInternet xmlns="2e97e158-1a31-4bff-9a0a-f8ebffd34ea8">true</PublicarInternet>
    <NRIniciativa xmlns="2e97e158-1a31-4bff-9a0a-f8ebffd34ea8">205</NRIniciativa>
    <Legislatura xmlns="2e97e158-1a31-4bff-9a0a-f8ebffd34ea8">XIV</Legislatura>
    <Sessao xmlns="2e97e158-1a31-4bff-9a0a-f8ebffd34ea8">1ª</Sessao>
  </documentManagement>
</p:properties>
</file>

<file path=customXml/itemProps1.xml><?xml version="1.0" encoding="utf-8"?>
<ds:datastoreItem xmlns:ds="http://schemas.openxmlformats.org/officeDocument/2006/customXml" ds:itemID="{5D91B39E-B673-4B5E-ADB2-161D96D62F97}"/>
</file>

<file path=customXml/itemProps2.xml><?xml version="1.0" encoding="utf-8"?>
<ds:datastoreItem xmlns:ds="http://schemas.openxmlformats.org/officeDocument/2006/customXml" ds:itemID="{F2E1CEB2-1323-4049-A1EA-87E89FB62170}"/>
</file>

<file path=customXml/itemProps3.xml><?xml version="1.0" encoding="utf-8"?>
<ds:datastoreItem xmlns:ds="http://schemas.openxmlformats.org/officeDocument/2006/customXml" ds:itemID="{CF91A706-9CD1-485F-830B-5B5C538FB008}"/>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Projecto de Resolução n.º 385/XI</vt:lpstr>
    </vt:vector>
  </TitlesOfParts>
  <Company>Assembleia da República - Palácio de S. Bento - 1249-068 Lisboa - Telefone: 21 391 7592 - Fax: 21 391 7459Email: bloco.esquerda@be.parlamento.pt - http:// www.beparlamento.net/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spereira</dc:creator>
  <cp:lastModifiedBy>Pedro Camacho</cp:lastModifiedBy>
  <cp:revision>2</cp:revision>
  <cp:lastPrinted>2011-07-14T15:37:00Z</cp:lastPrinted>
  <dcterms:created xsi:type="dcterms:W3CDTF">2020-01-30T09:58:00Z</dcterms:created>
  <dcterms:modified xsi:type="dcterms:W3CDTF">2020-01-30T09:58:00Z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214700</vt:r8>
  </property>
</Properties>
</file>