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7F" w:rsidRDefault="0055767F">
      <w:pPr>
        <w:pStyle w:val="CorpoA"/>
        <w:spacing w:before="120" w:after="120" w:line="360" w:lineRule="auto"/>
        <w:jc w:val="both"/>
        <w:rPr>
          <w:rStyle w:val="Nenhuma"/>
          <w:rFonts w:ascii="Arial" w:hAnsi="Arial"/>
          <w:b/>
          <w:bCs/>
        </w:rPr>
      </w:pPr>
      <w:bookmarkStart w:id="0" w:name="_Hlk24059648"/>
    </w:p>
    <w:p w:rsidR="0055767F" w:rsidRDefault="006C64F1">
      <w:pPr>
        <w:pStyle w:val="CorpoA"/>
        <w:spacing w:before="120" w:after="120" w:line="360" w:lineRule="auto"/>
        <w:jc w:val="center"/>
        <w:rPr>
          <w:rStyle w:val="Nenhuma"/>
          <w:rFonts w:ascii="Arial" w:eastAsia="Arial" w:hAnsi="Arial" w:cs="Arial"/>
          <w:b/>
          <w:bCs/>
        </w:rPr>
      </w:pPr>
      <w:r>
        <w:rPr>
          <w:rStyle w:val="Nenhuma"/>
          <w:rFonts w:ascii="Arial" w:hAnsi="Arial"/>
          <w:b/>
          <w:bCs/>
        </w:rPr>
        <w:t xml:space="preserve">PROJETO DE RESOLUÇÃO Nº </w:t>
      </w:r>
      <w:r w:rsidR="00624931">
        <w:rPr>
          <w:rStyle w:val="Nenhuma"/>
          <w:rFonts w:ascii="Arial" w:hAnsi="Arial"/>
          <w:b/>
          <w:bCs/>
        </w:rPr>
        <w:t>1175/</w:t>
      </w:r>
      <w:r>
        <w:rPr>
          <w:rStyle w:val="Nenhuma"/>
          <w:rFonts w:ascii="Arial" w:hAnsi="Arial"/>
          <w:b/>
          <w:bCs/>
        </w:rPr>
        <w:t>XIV/2ª</w:t>
      </w:r>
    </w:p>
    <w:p w:rsidR="0055767F" w:rsidRDefault="0055767F">
      <w:pPr>
        <w:pStyle w:val="CorpoA"/>
        <w:spacing w:before="120" w:after="120" w:line="360" w:lineRule="auto"/>
        <w:jc w:val="both"/>
        <w:rPr>
          <w:rStyle w:val="Nenhuma"/>
          <w:rFonts w:ascii="Arial" w:eastAsia="Arial" w:hAnsi="Arial" w:cs="Arial"/>
          <w:b/>
          <w:bCs/>
        </w:rPr>
      </w:pPr>
      <w:bookmarkStart w:id="1" w:name="_GoBack"/>
      <w:bookmarkEnd w:id="1"/>
    </w:p>
    <w:p w:rsidR="0055767F" w:rsidRDefault="006C64F1">
      <w:pPr>
        <w:pStyle w:val="CorpoA"/>
        <w:spacing w:before="120" w:after="120" w:line="360" w:lineRule="auto"/>
        <w:jc w:val="center"/>
        <w:rPr>
          <w:rStyle w:val="Nenhuma"/>
          <w:rFonts w:ascii="Arial" w:eastAsia="Arial" w:hAnsi="Arial" w:cs="Arial"/>
          <w:b/>
          <w:bCs/>
        </w:rPr>
      </w:pPr>
      <w:bookmarkStart w:id="2" w:name="_Hlk68186631"/>
      <w:r>
        <w:rPr>
          <w:rStyle w:val="Nenhuma"/>
          <w:rFonts w:ascii="Arial" w:hAnsi="Arial"/>
          <w:b/>
          <w:bCs/>
        </w:rPr>
        <w:t xml:space="preserve">Recomenda ao governo que publique a legislação sobre prevenção da contaminação e remediação de solos </w:t>
      </w:r>
      <w:r w:rsidR="001F74AE">
        <w:rPr>
          <w:rStyle w:val="Nenhuma"/>
          <w:rFonts w:ascii="Arial" w:hAnsi="Arial"/>
          <w:b/>
          <w:bCs/>
        </w:rPr>
        <w:t xml:space="preserve">- </w:t>
      </w:r>
      <w:proofErr w:type="spellStart"/>
      <w:r>
        <w:rPr>
          <w:rStyle w:val="Nenhuma"/>
          <w:rFonts w:ascii="Arial" w:hAnsi="Arial"/>
          <w:b/>
          <w:bCs/>
        </w:rPr>
        <w:t>ProSolos</w:t>
      </w:r>
      <w:proofErr w:type="spellEnd"/>
      <w:r>
        <w:rPr>
          <w:rStyle w:val="Nenhuma"/>
          <w:rFonts w:ascii="Arial" w:hAnsi="Arial"/>
          <w:b/>
          <w:bCs/>
        </w:rPr>
        <w:t xml:space="preserve"> </w:t>
      </w:r>
      <w:r w:rsidR="001F74AE">
        <w:rPr>
          <w:rStyle w:val="Nenhuma"/>
          <w:rFonts w:ascii="Arial" w:hAnsi="Arial"/>
          <w:b/>
          <w:bCs/>
        </w:rPr>
        <w:t>-</w:t>
      </w:r>
      <w:r>
        <w:rPr>
          <w:rStyle w:val="Nenhuma"/>
          <w:rFonts w:ascii="Arial" w:hAnsi="Arial"/>
          <w:b/>
          <w:bCs/>
        </w:rPr>
        <w:t xml:space="preserve"> e que reforce as ações inspetivas</w:t>
      </w:r>
      <w:r w:rsidR="001F74AE" w:rsidRPr="001F74AE">
        <w:rPr>
          <w:rStyle w:val="Nenhuma"/>
          <w:rFonts w:ascii="Arial" w:hAnsi="Arial"/>
          <w:b/>
          <w:bCs/>
        </w:rPr>
        <w:t xml:space="preserve"> </w:t>
      </w:r>
      <w:r w:rsidR="001F74AE">
        <w:rPr>
          <w:rStyle w:val="Nenhuma"/>
          <w:rFonts w:ascii="Arial" w:hAnsi="Arial"/>
          <w:b/>
          <w:bCs/>
        </w:rPr>
        <w:t>e de fiscalização</w:t>
      </w:r>
    </w:p>
    <w:bookmarkEnd w:id="2"/>
    <w:p w:rsidR="0055767F" w:rsidRDefault="0055767F">
      <w:pPr>
        <w:pStyle w:val="CorpoA"/>
        <w:spacing w:before="120" w:after="120" w:line="360" w:lineRule="auto"/>
        <w:jc w:val="both"/>
        <w:rPr>
          <w:rStyle w:val="Nenhuma"/>
          <w:rFonts w:ascii="Arial" w:eastAsia="Arial" w:hAnsi="Arial" w:cs="Arial"/>
        </w:rPr>
      </w:pP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O projeto legislativo relativo à Prevenção da Contaminação e Remediação dos Solos (</w:t>
      </w:r>
      <w:proofErr w:type="spellStart"/>
      <w:r>
        <w:rPr>
          <w:rStyle w:val="Nenhuma"/>
          <w:rFonts w:ascii="Arial" w:hAnsi="Arial"/>
        </w:rPr>
        <w:t>PRoSolos</w:t>
      </w:r>
      <w:proofErr w:type="spellEnd"/>
      <w:r>
        <w:rPr>
          <w:rStyle w:val="Nenhuma"/>
          <w:rFonts w:ascii="Arial" w:hAnsi="Arial"/>
        </w:rPr>
        <w:t xml:space="preserve">) foi apresentado publicamente a 3 de setembro de 2015 e a consulta pública encerrou a 4 de novembro de 2015. Entretanto passaram seis anos sem que o processo legislativo tenha sido concluído, ficando os diplomas pendentes no Ministério do Ambiente e Ação Climática, com prejuízo para as populações e com descrédito para as instituições. 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O projeto legislativo em causa visa estabelecer o regime jurídico da prevenção da contaminação e remediação dos solos, com vista à salvaguarda do ambiente e da saúde humana, fixando o processo de avaliação da qualidade e de remediação do solo, bem como a responsabilização pela sua contaminação, assente nos princípios do poluidor-pagador e da responsabilidade. Com este regime por concluir, Portugal continua a ser dos países mais desprotegidos da União Europeia.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 xml:space="preserve">São públicos vários casos graves que envolvem solos contaminados e riscos para as populações locais. Em Lisboa, no Parque das Nações, são recorrentes os problemas que surgem com a construção de novos projetos imobiliários, face ao passivo ambiental pré-existente no subsolo. Em Setúbal, nos terrenos do Vale da Rosa, foram quantificadas 80 mil toneladas de resíduos, implicando riscos múltiplos e custos elevados de remoção. Noutros pontos do país também se registam episódios semelhantes obrigando várias instituições a reagir face às respetivas competências (IGAMAOT, APA, </w:t>
      </w:r>
      <w:proofErr w:type="spellStart"/>
      <w:r>
        <w:rPr>
          <w:rStyle w:val="Nenhuma"/>
          <w:rFonts w:ascii="Arial" w:hAnsi="Arial"/>
        </w:rPr>
        <w:t>CCDR’s</w:t>
      </w:r>
      <w:proofErr w:type="spellEnd"/>
      <w:r>
        <w:rPr>
          <w:rStyle w:val="Nenhuma"/>
          <w:rFonts w:ascii="Arial" w:hAnsi="Arial"/>
        </w:rPr>
        <w:t xml:space="preserve">, autarquias, autoridades policiais). 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lastRenderedPageBreak/>
        <w:t>Ter um quadro legal atualizado e robusto, atualizado à luz dos conhecimentos técnicos e científicos, é fundamental para antecipar problemas e garantir a proteção destas populações.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 xml:space="preserve">É por demais óbvio que o quadro legal existente é ineficaz, confuso e limitativo face à dimensão dos problemas. Permite apenas reagir quando precisamos de antecipar e prevenir novos problemas, clarificando critérios técnicos e responsabilidades institucionais.  A contaminação dos solos é um problema grave em Portugal e, portanto, tem sido incompreensível a inação governativa em relação ao </w:t>
      </w:r>
      <w:proofErr w:type="spellStart"/>
      <w:r>
        <w:rPr>
          <w:rStyle w:val="Nenhuma"/>
          <w:rFonts w:ascii="Arial" w:hAnsi="Arial"/>
        </w:rPr>
        <w:t>PRoSolos</w:t>
      </w:r>
      <w:proofErr w:type="spellEnd"/>
      <w:r>
        <w:rPr>
          <w:rStyle w:val="Nenhuma"/>
          <w:rFonts w:ascii="Arial" w:hAnsi="Arial"/>
        </w:rPr>
        <w:t xml:space="preserve">. 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 xml:space="preserve">Contudo, pior do que a inação, é a contradição que atualmente se regista com outras políticas setoriais que poderão contribuir diretamente para a contaminação dos solos. O Decreto-Lei nº. 102-D/2020, que aprova o novo regime geral da gestão de resíduos, possibilita a realização de “enchimento - qualquer operação de valorização em que, para efeitos de recuperação em zonas escavadas ou para fins de engenharia paisagística, são empregues resíduos não perigosos adequados para esse fim em substituição”. 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Aprovar esta tipologia de operação pode ter como consequência o surgimento de áreas de deposição de resíduos com pouco controlo, no fundo novas lixeiras em pedreiras, o que reflete um retrocesso das políticas ambientais. Neste contexto, não ter uma robusta lei de proteção dos solos em vigor, é especialmente grave e perigoso. Num momento em que decorrem operações de remoção de amianto em escolas por vários pontos do país, é plausível considerar a possibilidade de desvios por parte de empreiteiros menos escrupulosos, acabando materiais perigosos na recuperação ambiental de pedreiras, a pretexto de “enchimentos”. Acresce que a ausência de revisão no novo decreto-lei do limite de admissibilidade de solos com presença de Hidrocarbonetos Aromáticos Persistentes - cujo limite de admissibilidade em aterro de inertes e</w:t>
      </w:r>
      <w:r w:rsidR="00713F15">
        <w:rPr>
          <w:rStyle w:val="Nenhuma"/>
          <w:rFonts w:ascii="Arial" w:hAnsi="Arial"/>
        </w:rPr>
        <w:t xml:space="preserve"> /</w:t>
      </w:r>
      <w:r>
        <w:rPr>
          <w:rStyle w:val="Nenhuma"/>
          <w:rFonts w:ascii="Arial" w:hAnsi="Arial"/>
        </w:rPr>
        <w:t xml:space="preserve"> ou enchimento de areeiros ou pedreiras permaneceu em 100mg/Kg, quando a média europeia é de 20mg/Kg – adensa esta problemática e consubstancia uma negligência grave.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 xml:space="preserve">A legislação </w:t>
      </w:r>
      <w:proofErr w:type="spellStart"/>
      <w:r>
        <w:rPr>
          <w:rStyle w:val="Nenhuma"/>
          <w:rFonts w:ascii="Arial" w:hAnsi="Arial"/>
        </w:rPr>
        <w:t>PRoSolos</w:t>
      </w:r>
      <w:proofErr w:type="spellEnd"/>
      <w:r>
        <w:rPr>
          <w:rStyle w:val="Nenhuma"/>
          <w:rFonts w:ascii="Arial" w:hAnsi="Arial"/>
        </w:rPr>
        <w:t xml:space="preserve">, para além de definir os objetivos e princípios orientadores nesta matéria, estabelece um quadro comum para a remediação dos solos contaminados, assente num referencial de sustentabilidade que considera as melhores </w:t>
      </w:r>
      <w:r>
        <w:rPr>
          <w:rStyle w:val="Nenhuma"/>
          <w:rFonts w:ascii="Arial" w:hAnsi="Arial"/>
        </w:rPr>
        <w:lastRenderedPageBreak/>
        <w:t>técnicas disponíveis, bem como os custos e os benefícios associados a cada opção de intervenção. A Agência Portuguesa do Ambiente, I.P., é a entidade à qual estão atribuídas competências de coordenação relativas às etapas da Avaliação Preliminar, da Avaliação Exploratória e da Avaliação Detalhada, e que exerce superintendência técnica sobre as Comissões de Coordenação e Desenvolvimento Regional, tendo estas entidades competências relativas à etapa da remediação.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Por outro lado, compete à IGAMAOT a instrução dos processos de contraordenação instaurados no âmbito do novo decreto-lei, bem como a aplicação das correspondentes coimas, sendo dado conhecimento das decisões às entidades autuantes. A articulação institucional é fundamental para garantir a eficácia legislativa, pelo que o diploma também virá a clarificar os âmbitos de competências.</w:t>
      </w:r>
    </w:p>
    <w:p w:rsidR="0055767F" w:rsidRDefault="006C64F1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O abandono do projeto legislativo relativo à Prevenção da Contaminação e Remediação dos Solos (</w:t>
      </w:r>
      <w:proofErr w:type="spellStart"/>
      <w:r>
        <w:rPr>
          <w:rStyle w:val="Nenhuma"/>
          <w:rFonts w:ascii="Arial" w:hAnsi="Arial"/>
        </w:rPr>
        <w:t>PRoSolos</w:t>
      </w:r>
      <w:proofErr w:type="spellEnd"/>
      <w:r>
        <w:rPr>
          <w:rStyle w:val="Nenhuma"/>
          <w:rFonts w:ascii="Arial" w:hAnsi="Arial"/>
        </w:rPr>
        <w:t xml:space="preserve">) por parte do governo é extremamente grave e verdadeiramente incompreensível. É fundamental retomar e concluir este processo para salvaguardar a saúde das populações e para proteger os recursos naturais. Por outro lado, é da maior importância que as instituições do Ministério do Ambiente com competências nesta matéria sejam orientadas para reforçar as ações fiscalizadoras e inspetivas, contrariando uma perceção pública de inércia e de mera reação aos problemas, requerendo-se mais diligência e maior proatividade.  </w:t>
      </w:r>
    </w:p>
    <w:bookmarkEnd w:id="0"/>
    <w:p w:rsidR="0055767F" w:rsidRDefault="0055767F">
      <w:pPr>
        <w:pStyle w:val="CorpoA"/>
        <w:spacing w:before="120" w:after="120" w:line="360" w:lineRule="auto"/>
        <w:ind w:firstLine="708"/>
        <w:jc w:val="both"/>
        <w:rPr>
          <w:rStyle w:val="Nenhuma"/>
          <w:rFonts w:ascii="Arial" w:eastAsia="Arial" w:hAnsi="Arial" w:cs="Arial"/>
        </w:rPr>
      </w:pPr>
    </w:p>
    <w:p w:rsidR="0055767F" w:rsidRDefault="006C64F1">
      <w:pPr>
        <w:pStyle w:val="CorpoA"/>
        <w:spacing w:before="60" w:after="60" w:line="360" w:lineRule="auto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Assim, vem o Grupo Parlamentar do Partido Social Democrata, nos termos da Constituição e do Regimento da Assembleia da República, recomendar ao Governo que:</w:t>
      </w:r>
    </w:p>
    <w:p w:rsidR="0055767F" w:rsidRDefault="006C64F1">
      <w:pPr>
        <w:pStyle w:val="CorpoA"/>
        <w:spacing w:before="60" w:after="60" w:line="360" w:lineRule="auto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 xml:space="preserve">1. Publique a legislação </w:t>
      </w:r>
      <w:proofErr w:type="spellStart"/>
      <w:r>
        <w:rPr>
          <w:rStyle w:val="Nenhuma"/>
          <w:rFonts w:ascii="Arial" w:hAnsi="Arial"/>
        </w:rPr>
        <w:t>ProSolos</w:t>
      </w:r>
      <w:proofErr w:type="spellEnd"/>
      <w:r>
        <w:rPr>
          <w:rStyle w:val="Nenhuma"/>
          <w:rFonts w:ascii="Arial" w:hAnsi="Arial"/>
        </w:rPr>
        <w:t xml:space="preserve"> que visa estabelecer o regime jurídico da prevenção da contaminação e remediação de solos, com vista à salvaguarda do ambiente e da saúde humana. </w:t>
      </w:r>
    </w:p>
    <w:p w:rsidR="0055767F" w:rsidRDefault="006C64F1">
      <w:pPr>
        <w:pStyle w:val="CorpoA"/>
        <w:spacing w:before="60" w:after="60" w:line="360" w:lineRule="auto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2. Reforce as ações de fiscalização e inspeção em matéria de prevenção da contaminação e remediação de solos.</w:t>
      </w:r>
    </w:p>
    <w:p w:rsidR="00713F15" w:rsidRPr="00BF5019" w:rsidRDefault="006C64F1">
      <w:pPr>
        <w:pStyle w:val="CorpoA"/>
        <w:spacing w:before="60" w:after="60" w:line="360" w:lineRule="auto"/>
        <w:jc w:val="both"/>
        <w:rPr>
          <w:rFonts w:ascii="Arial" w:eastAsia="Arial" w:hAnsi="Arial" w:cs="Arial"/>
          <w:color w:val="auto"/>
        </w:rPr>
      </w:pPr>
      <w:r w:rsidRPr="001F74AE">
        <w:rPr>
          <w:rStyle w:val="Nenhuma"/>
          <w:rFonts w:ascii="Arial" w:hAnsi="Arial"/>
          <w:color w:val="auto"/>
        </w:rPr>
        <w:t xml:space="preserve">3. Implemente um plano nacional de monitorização da qualidade dos recursos hídricos localizados nas zonas adjacentes aos locais de extração de inertes (pedreiras e </w:t>
      </w:r>
      <w:r w:rsidR="00713F15" w:rsidRPr="001F74AE">
        <w:rPr>
          <w:rStyle w:val="Nenhuma"/>
          <w:rFonts w:ascii="Arial" w:hAnsi="Arial"/>
          <w:color w:val="auto"/>
        </w:rPr>
        <w:lastRenderedPageBreak/>
        <w:t>areeiros</w:t>
      </w:r>
      <w:r w:rsidRPr="001F74AE">
        <w:rPr>
          <w:rStyle w:val="Nenhuma"/>
          <w:rFonts w:ascii="Arial" w:hAnsi="Arial"/>
          <w:color w:val="auto"/>
        </w:rPr>
        <w:t>) que ao longo do tempo têm vindo a ser utilizados para depositar solos, terras e resíduos de construção e demolição com suspeitas de contaminação.</w:t>
      </w:r>
    </w:p>
    <w:p w:rsidR="0055767F" w:rsidRDefault="0055767F">
      <w:pPr>
        <w:pStyle w:val="CorpoA"/>
        <w:spacing w:before="60" w:after="60" w:line="360" w:lineRule="auto"/>
        <w:jc w:val="both"/>
        <w:rPr>
          <w:rStyle w:val="Nenhuma"/>
          <w:rFonts w:ascii="Arial" w:eastAsia="Arial" w:hAnsi="Arial" w:cs="Arial"/>
        </w:rPr>
      </w:pPr>
    </w:p>
    <w:p w:rsidR="0055767F" w:rsidRDefault="006C64F1">
      <w:pPr>
        <w:pStyle w:val="CorpoA"/>
        <w:spacing w:before="60" w:after="60" w:line="360" w:lineRule="auto"/>
        <w:jc w:val="both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Assembleia da República</w:t>
      </w:r>
      <w:r w:rsidR="00713F15">
        <w:rPr>
          <w:rStyle w:val="Nenhuma"/>
          <w:rFonts w:ascii="Arial" w:hAnsi="Arial"/>
        </w:rPr>
        <w:t>, 1</w:t>
      </w:r>
      <w:r>
        <w:rPr>
          <w:rStyle w:val="Nenhuma"/>
          <w:rFonts w:ascii="Arial" w:hAnsi="Arial"/>
        </w:rPr>
        <w:t xml:space="preserve"> de abril de 2021</w:t>
      </w:r>
    </w:p>
    <w:p w:rsidR="001F74AE" w:rsidRDefault="001F74AE">
      <w:pPr>
        <w:pStyle w:val="CorpoA"/>
        <w:widowControl w:val="0"/>
        <w:spacing w:before="60" w:after="60" w:line="360" w:lineRule="auto"/>
        <w:ind w:left="3828"/>
        <w:jc w:val="both"/>
        <w:rPr>
          <w:rStyle w:val="Nenhuma"/>
          <w:rFonts w:ascii="Arial" w:hAnsi="Arial"/>
        </w:rPr>
      </w:pPr>
    </w:p>
    <w:p w:rsidR="0055767F" w:rsidRDefault="00BF5019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As/</w:t>
      </w:r>
      <w:r w:rsidR="006C64F1">
        <w:rPr>
          <w:rStyle w:val="Nenhuma"/>
          <w:rFonts w:ascii="Arial" w:hAnsi="Arial"/>
        </w:rPr>
        <w:t>Os Deputad</w:t>
      </w:r>
      <w:r>
        <w:rPr>
          <w:rStyle w:val="Nenhuma"/>
          <w:rFonts w:ascii="Arial" w:hAnsi="Arial"/>
        </w:rPr>
        <w:t>as/</w:t>
      </w:r>
      <w:r w:rsidR="006C64F1">
        <w:rPr>
          <w:rStyle w:val="Nenhuma"/>
          <w:rFonts w:ascii="Arial" w:hAnsi="Arial"/>
        </w:rPr>
        <w:t>os,</w:t>
      </w:r>
    </w:p>
    <w:p w:rsidR="00BF5019" w:rsidRDefault="00BF5019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eastAsia="Arial" w:hAnsi="Arial" w:cs="Arial"/>
        </w:rPr>
      </w:pPr>
    </w:p>
    <w:p w:rsidR="001F74AE" w:rsidRDefault="00BF5019" w:rsidP="00BF5019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>
        <w:rPr>
          <w:rStyle w:val="Nenhuma"/>
          <w:rFonts w:ascii="Arial" w:hAnsi="Arial"/>
        </w:rPr>
        <w:t>Adão Silva</w:t>
      </w:r>
    </w:p>
    <w:p w:rsidR="0055767F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eastAsia="Arial" w:hAnsi="Arial" w:cs="Arial"/>
        </w:rPr>
      </w:pPr>
      <w:r>
        <w:rPr>
          <w:rStyle w:val="Nenhuma"/>
          <w:rFonts w:ascii="Arial" w:hAnsi="Arial"/>
        </w:rPr>
        <w:t>Luí</w:t>
      </w:r>
      <w:r w:rsidRPr="00BF5019">
        <w:rPr>
          <w:rStyle w:val="Nenhuma"/>
          <w:rFonts w:ascii="Arial" w:hAnsi="Arial"/>
        </w:rPr>
        <w:t>s Leite Ramos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Bruno Coimbra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Hugo Martins de Carvalho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Paulo Leitão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Nuno Carvalho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Hugo Oliveira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João Moura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Rui Cristina</w:t>
      </w:r>
    </w:p>
    <w:p w:rsidR="001F74AE" w:rsidRPr="00BF5019" w:rsidRDefault="001F74AE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Filipa Roseta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António Maló de Abreu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António Lima Costa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António Topa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João Marques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José Silvano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Emídio Guerreiro</w:t>
      </w:r>
    </w:p>
    <w:p w:rsidR="0055767F" w:rsidRPr="00BF5019" w:rsidRDefault="006C64F1" w:rsidP="001F74AE">
      <w:pPr>
        <w:pStyle w:val="CorpoA"/>
        <w:widowControl w:val="0"/>
        <w:spacing w:before="60" w:after="60" w:line="360" w:lineRule="auto"/>
        <w:jc w:val="center"/>
        <w:rPr>
          <w:rStyle w:val="Nenhuma"/>
          <w:rFonts w:ascii="Arial" w:hAnsi="Arial"/>
        </w:rPr>
      </w:pPr>
      <w:r w:rsidRPr="00BF5019">
        <w:rPr>
          <w:rStyle w:val="Nenhuma"/>
          <w:rFonts w:ascii="Arial" w:hAnsi="Arial"/>
        </w:rPr>
        <w:t>Pedro Pinto</w:t>
      </w:r>
    </w:p>
    <w:sectPr w:rsidR="0055767F" w:rsidRPr="00BF5019">
      <w:headerReference w:type="default" r:id="rId6"/>
      <w:footerReference w:type="default" r:id="rId7"/>
      <w:pgSz w:w="11900" w:h="16840"/>
      <w:pgMar w:top="212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86" w:rsidRDefault="00173986">
      <w:r>
        <w:separator/>
      </w:r>
    </w:p>
  </w:endnote>
  <w:endnote w:type="continuationSeparator" w:id="0">
    <w:p w:rsidR="00173986" w:rsidRDefault="0017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7F" w:rsidRDefault="006C64F1">
    <w:pPr>
      <w:pStyle w:val="Rodap"/>
      <w:tabs>
        <w:tab w:val="clear" w:pos="8504"/>
        <w:tab w:val="right" w:pos="8478"/>
      </w:tabs>
      <w:jc w:val="right"/>
    </w:pPr>
    <w:r>
      <w:rPr>
        <w:rStyle w:val="Nenhuma"/>
      </w:rPr>
      <w:fldChar w:fldCharType="begin"/>
    </w:r>
    <w:r>
      <w:rPr>
        <w:rStyle w:val="Nenhuma"/>
      </w:rPr>
      <w:instrText xml:space="preserve"> PAGE </w:instrText>
    </w:r>
    <w:r>
      <w:rPr>
        <w:rStyle w:val="Nenhuma"/>
      </w:rPr>
      <w:fldChar w:fldCharType="separate"/>
    </w:r>
    <w:r w:rsidR="001F74AE">
      <w:rPr>
        <w:rStyle w:val="Nenhuma"/>
        <w:noProof/>
      </w:rPr>
      <w:t>1</w:t>
    </w:r>
    <w:r>
      <w:rPr>
        <w:rStyle w:val="Nenhu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86" w:rsidRDefault="00173986">
      <w:r>
        <w:separator/>
      </w:r>
    </w:p>
  </w:footnote>
  <w:footnote w:type="continuationSeparator" w:id="0">
    <w:p w:rsidR="00173986" w:rsidRDefault="0017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456530"/>
  <w:p w:rsidR="0055767F" w:rsidRDefault="00BF5019">
    <w:pPr>
      <w:pStyle w:val="Cabealho"/>
      <w:tabs>
        <w:tab w:val="clear" w:pos="8504"/>
        <w:tab w:val="right" w:pos="8478"/>
      </w:tabs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1pt;height:119.7pt" fillcolor="window">
          <v:imagedata r:id="rId1" o:title=""/>
        </v:shape>
        <o:OLEObject Type="Embed" ProgID="MSPhotoEd.3" ShapeID="_x0000_i1025" DrawAspect="Content" ObjectID="_1679126228" r:id="rId2"/>
      </w:objec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7F"/>
    <w:rsid w:val="00173986"/>
    <w:rsid w:val="001F74AE"/>
    <w:rsid w:val="0055767F"/>
    <w:rsid w:val="00624931"/>
    <w:rsid w:val="006C64F1"/>
    <w:rsid w:val="00713F15"/>
    <w:rsid w:val="009D2272"/>
    <w:rsid w:val="00BF5019"/>
    <w:rsid w:val="00E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2F568"/>
  <w15:docId w15:val="{4A640C6F-A4FC-46C0-AF48-D10A68E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a">
    <w:name w:val="Nenhuma"/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3F1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3F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2021-03-31T23:00:00+00:00</DataDocumento>
    <IDFase xmlns="2e97e158-1a31-4bff-9a0a-f8ebffd34ea8">0</IDFase>
    <IDIniciativa xmlns="2e97e158-1a31-4bff-9a0a-f8ebffd34ea8">110623</IDIniciativa>
    <TipoDocumento xmlns="2e97e158-1a31-4bff-9a0a-f8ebffd34ea8">Anexo</TipoDocumento>
    <NomeOriginalFicheiro xmlns="2e97e158-1a31-4bff-9a0a-f8ebffd34ea8">pjr1175-XIV.docx</NomeOriginalFicheiro>
    <NROrdem xmlns="2e97e158-1a31-4bff-9a0a-f8ebffd34ea8">1</NROrdem>
    <PublicarInternet xmlns="2e97e158-1a31-4bff-9a0a-f8ebffd34ea8">true</PublicarInternet>
    <NRIniciativa xmlns="2e97e158-1a31-4bff-9a0a-f8ebffd34ea8">1175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96E1675-A897-467E-8473-7203DC921136}"/>
</file>

<file path=customXml/itemProps2.xml><?xml version="1.0" encoding="utf-8"?>
<ds:datastoreItem xmlns:ds="http://schemas.openxmlformats.org/officeDocument/2006/customXml" ds:itemID="{E83229CA-6602-42AF-8E9A-15299AC85729}"/>
</file>

<file path=customXml/itemProps3.xml><?xml version="1.0" encoding="utf-8"?>
<ds:datastoreItem xmlns:ds="http://schemas.openxmlformats.org/officeDocument/2006/customXml" ds:itemID="{115F119A-CD80-4EFF-BF40-46D61C49C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5573</Characters>
  <Application>Microsoft Office Word</Application>
  <DocSecurity>4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n.º 1175/XIV/2.ª </dc:title>
  <dc:creator>Fernando Teigão Santos</dc:creator>
  <cp:lastModifiedBy>Teresa Lamas</cp:lastModifiedBy>
  <cp:revision>2</cp:revision>
  <cp:lastPrinted>2021-04-01T14:54:00Z</cp:lastPrinted>
  <dcterms:created xsi:type="dcterms:W3CDTF">2021-04-05T10:11:00Z</dcterms:created>
  <dcterms:modified xsi:type="dcterms:W3CDTF">2021-04-05T10:11:00Z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519000</vt:r8>
  </property>
</Properties>
</file>