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5024" w14:textId="77777777" w:rsidR="00966EA6" w:rsidRDefault="003F2CB5">
      <w:pPr>
        <w:spacing w:before="120" w:line="360" w:lineRule="auto"/>
        <w:ind w:left="0" w:hanging="2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793E839" wp14:editId="3040C772">
            <wp:simplePos x="0" y="0"/>
            <wp:positionH relativeFrom="column">
              <wp:posOffset>2181225</wp:posOffset>
            </wp:positionH>
            <wp:positionV relativeFrom="paragraph">
              <wp:posOffset>-87629</wp:posOffset>
            </wp:positionV>
            <wp:extent cx="1333500" cy="852170"/>
            <wp:effectExtent l="0" t="0" r="0" b="0"/>
            <wp:wrapNone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r="8925" b="89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524241" w14:textId="77777777" w:rsidR="00966EA6" w:rsidRDefault="00966EA6">
      <w:pPr>
        <w:spacing w:before="120" w:line="36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bookmarkStart w:id="0" w:name="_heading=h.gjdgxs" w:colFirst="0" w:colLast="0"/>
      <w:bookmarkEnd w:id="0"/>
    </w:p>
    <w:p w14:paraId="5DC494E6" w14:textId="77777777" w:rsidR="00966EA6" w:rsidRDefault="003F2CB5">
      <w:pPr>
        <w:tabs>
          <w:tab w:val="left" w:pos="709"/>
        </w:tabs>
        <w:ind w:left="1" w:hanging="3"/>
        <w:rPr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           </w:t>
      </w:r>
      <w:r>
        <w:rPr>
          <w:i/>
          <w:sz w:val="20"/>
          <w:szCs w:val="20"/>
        </w:rPr>
        <w:t>Grupo Parlamentar</w:t>
      </w:r>
    </w:p>
    <w:p w14:paraId="59911ADD" w14:textId="77777777" w:rsidR="00966EA6" w:rsidRDefault="003F2CB5">
      <w:pPr>
        <w:spacing w:before="120" w:line="36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ab/>
      </w:r>
    </w:p>
    <w:p w14:paraId="2EC06BED" w14:textId="2EC4C453" w:rsidR="00966EA6" w:rsidRDefault="003F2CB5">
      <w:pPr>
        <w:tabs>
          <w:tab w:val="left" w:pos="709"/>
        </w:tabs>
        <w:spacing w:line="36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PROJETO DE LEI N.º </w:t>
      </w:r>
      <w:r w:rsidR="00555DB7">
        <w:rPr>
          <w:rFonts w:ascii="Cambria" w:eastAsia="Cambria" w:hAnsi="Cambria" w:cs="Cambria"/>
          <w:b/>
          <w:sz w:val="28"/>
          <w:szCs w:val="28"/>
        </w:rPr>
        <w:t>1020/</w:t>
      </w:r>
      <w:r>
        <w:rPr>
          <w:rFonts w:ascii="Cambria" w:eastAsia="Cambria" w:hAnsi="Cambria" w:cs="Cambria"/>
          <w:b/>
          <w:sz w:val="28"/>
          <w:szCs w:val="28"/>
        </w:rPr>
        <w:t>XIV/</w:t>
      </w:r>
      <w:r w:rsidR="00054580">
        <w:rPr>
          <w:rFonts w:ascii="Cambria" w:eastAsia="Cambria" w:hAnsi="Cambria" w:cs="Cambria"/>
          <w:b/>
          <w:sz w:val="28"/>
          <w:szCs w:val="28"/>
        </w:rPr>
        <w:t>3</w:t>
      </w:r>
      <w:r>
        <w:rPr>
          <w:rFonts w:ascii="Cambria" w:eastAsia="Cambria" w:hAnsi="Cambria" w:cs="Cambria"/>
          <w:b/>
          <w:sz w:val="28"/>
          <w:szCs w:val="28"/>
        </w:rPr>
        <w:t>.ª</w:t>
      </w:r>
    </w:p>
    <w:p w14:paraId="26F91C32" w14:textId="77777777" w:rsidR="00966EA6" w:rsidRDefault="00966EA6">
      <w:pPr>
        <w:tabs>
          <w:tab w:val="left" w:pos="709"/>
        </w:tabs>
        <w:spacing w:line="360" w:lineRule="auto"/>
        <w:ind w:left="0" w:hanging="2"/>
        <w:jc w:val="center"/>
      </w:pPr>
    </w:p>
    <w:p w14:paraId="3DBB6D60" w14:textId="77777777" w:rsidR="00966EA6" w:rsidRDefault="003F2CB5">
      <w:pPr>
        <w:tabs>
          <w:tab w:val="left" w:pos="709"/>
        </w:tabs>
        <w:spacing w:line="36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PELA ESTABILIDADE NOS CONTRATOS DE ARRENDAMENTO</w:t>
      </w:r>
    </w:p>
    <w:p w14:paraId="5A5FD317" w14:textId="77777777" w:rsidR="00966EA6" w:rsidRDefault="003F2CB5">
      <w:pPr>
        <w:tabs>
          <w:tab w:val="left" w:pos="709"/>
        </w:tabs>
        <w:spacing w:line="36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(78.ª ALTERAÇÃO AO CÓDIGO CIVIL)</w:t>
      </w:r>
    </w:p>
    <w:p w14:paraId="293203AE" w14:textId="77777777" w:rsidR="00966EA6" w:rsidRDefault="00966EA6">
      <w:pPr>
        <w:tabs>
          <w:tab w:val="left" w:pos="709"/>
        </w:tabs>
        <w:spacing w:line="360" w:lineRule="auto"/>
        <w:ind w:left="1" w:hanging="3"/>
        <w:rPr>
          <w:rFonts w:ascii="Cambria" w:eastAsia="Cambria" w:hAnsi="Cambria" w:cs="Cambria"/>
          <w:sz w:val="28"/>
          <w:szCs w:val="28"/>
        </w:rPr>
      </w:pPr>
    </w:p>
    <w:p w14:paraId="7EC3FA61" w14:textId="34CEEE30" w:rsidR="00966EA6" w:rsidRPr="00A72C26" w:rsidRDefault="003F2CB5">
      <w:pPr>
        <w:tabs>
          <w:tab w:val="left" w:pos="709"/>
        </w:tabs>
        <w:spacing w:before="120" w:line="360" w:lineRule="auto"/>
        <w:ind w:left="1" w:hanging="3"/>
        <w:jc w:val="center"/>
        <w:rPr>
          <w:rFonts w:ascii="Cambria" w:eastAsia="Cambria" w:hAnsi="Cambria" w:cs="Cambria"/>
          <w:i/>
          <w:sz w:val="26"/>
          <w:szCs w:val="26"/>
        </w:rPr>
      </w:pPr>
      <w:r w:rsidRPr="00A72C26">
        <w:rPr>
          <w:rFonts w:ascii="Cambria" w:eastAsia="Cambria" w:hAnsi="Cambria" w:cs="Cambria"/>
          <w:i/>
          <w:sz w:val="26"/>
          <w:szCs w:val="26"/>
        </w:rPr>
        <w:t>Exposição de motivos</w:t>
      </w:r>
    </w:p>
    <w:p w14:paraId="136ED721" w14:textId="77777777" w:rsidR="00A72C26" w:rsidRDefault="00A72C26" w:rsidP="003001E0">
      <w:pPr>
        <w:tabs>
          <w:tab w:val="left" w:pos="709"/>
        </w:tabs>
        <w:spacing w:before="240" w:line="360" w:lineRule="auto"/>
        <w:ind w:left="-2" w:firstLineChars="0" w:firstLine="0"/>
        <w:jc w:val="both"/>
        <w:rPr>
          <w:rFonts w:ascii="Cambria" w:eastAsia="Cambria" w:hAnsi="Cambria" w:cs="Cambria"/>
          <w:sz w:val="22"/>
          <w:szCs w:val="22"/>
        </w:rPr>
      </w:pPr>
    </w:p>
    <w:p w14:paraId="3F696914" w14:textId="4ABEC3EA" w:rsidR="00966EA6" w:rsidRPr="00A72C26" w:rsidRDefault="003F2CB5" w:rsidP="003001E0">
      <w:pPr>
        <w:tabs>
          <w:tab w:val="left" w:pos="709"/>
        </w:tabs>
        <w:spacing w:before="240" w:line="360" w:lineRule="auto"/>
        <w:ind w:left="-2" w:firstLineChars="0" w:firstLine="0"/>
        <w:jc w:val="both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</w:rPr>
        <w:t xml:space="preserve">O processo de liberalização do </w:t>
      </w:r>
      <w:r w:rsidRPr="00A72C26">
        <w:rPr>
          <w:rFonts w:ascii="Cambria" w:eastAsia="Cambria" w:hAnsi="Cambria" w:cs="Cambria"/>
          <w:i/>
        </w:rPr>
        <w:t>mercado</w:t>
      </w:r>
      <w:r w:rsidRPr="00A72C26">
        <w:rPr>
          <w:rFonts w:ascii="Cambria" w:eastAsia="Cambria" w:hAnsi="Cambria" w:cs="Cambria"/>
        </w:rPr>
        <w:t xml:space="preserve"> de arrendamento contou, entre outras medidas que favoreceram a especulação imobiliária, com uma redução brutal dos tempos mínimos previstos para a duração de um contrato de arrendamento. </w:t>
      </w:r>
    </w:p>
    <w:p w14:paraId="49F0F843" w14:textId="77777777" w:rsidR="00966EA6" w:rsidRPr="00A72C26" w:rsidRDefault="003F2CB5" w:rsidP="003001E0">
      <w:pPr>
        <w:tabs>
          <w:tab w:val="left" w:pos="709"/>
        </w:tabs>
        <w:spacing w:before="240" w:line="360" w:lineRule="auto"/>
        <w:ind w:left="0" w:hanging="2"/>
        <w:jc w:val="both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</w:rPr>
        <w:t xml:space="preserve">Num país, Portugal, com uma percentagem de habitação pública irrelevante – o que só demonstra como o Estado se demitiu, no essencial, de construir o direito fundamental de acesso a uma casa – a regulação dos contratos de arrendamento assume-se como um fator determinante para garantir que as pessoas não estão desprotegidas em algo fulcral para todas as dimensões da sua vida. Por isso, é fácil de constatar que, sobretudo em zonas onde a especulação imobiliária se faz sentir – o que, atualmente, é em quase todo o nosso território -, permitir que haja contratos anuais de arrendamento é atirar as pessoas para um pesadelo de insegurança e de incerteza. </w:t>
      </w:r>
    </w:p>
    <w:p w14:paraId="3C70ED92" w14:textId="77777777" w:rsidR="00966EA6" w:rsidRPr="00A72C26" w:rsidRDefault="003F2CB5" w:rsidP="003001E0">
      <w:pPr>
        <w:tabs>
          <w:tab w:val="left" w:pos="709"/>
        </w:tabs>
        <w:spacing w:before="240" w:line="360" w:lineRule="auto"/>
        <w:ind w:left="0" w:hanging="2"/>
        <w:jc w:val="both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</w:rPr>
        <w:t xml:space="preserve">O Grupo Parlamentar do Bloco de Esquerda recebe, diariamente, relatos de pessoas que se encontram sujeitas a todo o tipo de pressões pelo facto de saberem que a cada ano podem perder a casa, mesmo cumprindo pontualmente com todas as suas obrigações.  Como se percebe, a cada contrato anual, começa-se logo a pensar no fim desse mesmo contrato, a pensar ceder à chantagem de um aumento de renda ou a não exercer alguns direitos que possam incomodar o senhorio. É uma situação inaceitável, para mais quando estamos perante um direito fundamental que influencia toda a nossa vida. Outros países </w:t>
      </w:r>
      <w:r w:rsidRPr="00A72C26">
        <w:rPr>
          <w:rFonts w:ascii="Cambria" w:eastAsia="Cambria" w:hAnsi="Cambria" w:cs="Cambria"/>
        </w:rPr>
        <w:lastRenderedPageBreak/>
        <w:t>europeus, nomeadamente Espanha, têm já períodos de contrato mais extensos que alcançam os 5 anos de mínimo de período contratual para habitação.</w:t>
      </w:r>
    </w:p>
    <w:p w14:paraId="5356BB9A" w14:textId="77777777" w:rsidR="00966EA6" w:rsidRPr="00A72C26" w:rsidRDefault="003F2CB5" w:rsidP="003001E0">
      <w:pPr>
        <w:tabs>
          <w:tab w:val="left" w:pos="709"/>
        </w:tabs>
        <w:spacing w:before="240" w:line="360" w:lineRule="auto"/>
        <w:ind w:left="0" w:hanging="2"/>
        <w:jc w:val="both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</w:rPr>
        <w:t xml:space="preserve">Assim, propõe-se o aumento de prazo mínimo, de forma a garantir estabilidade nesta relação, redução operada pelo Governo de PSD e CDS em 2012 que contou com a oposição dos restantes Grupos Parlamentares à data na Assembleia da República.  </w:t>
      </w:r>
    </w:p>
    <w:p w14:paraId="4167DA50" w14:textId="77777777" w:rsidR="00966EA6" w:rsidRPr="00A72C26" w:rsidRDefault="003F2CB5" w:rsidP="003001E0">
      <w:pPr>
        <w:tabs>
          <w:tab w:val="left" w:pos="709"/>
        </w:tabs>
        <w:spacing w:before="240" w:line="360" w:lineRule="auto"/>
        <w:ind w:left="0" w:hanging="2"/>
        <w:jc w:val="both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</w:rPr>
        <w:t xml:space="preserve">Igualmente, impõe-se uma reação legislativa a uma medida positiva que, entretanto, viu os seus fins frustrados, por conta de uma prática que se tornou regra. A norma prevista no artigo 1097.º n.º 3, de estender os efeitos da primeira oposição à renovação, foi contornada através da imposição de contratos anuais não </w:t>
      </w:r>
      <w:proofErr w:type="gramStart"/>
      <w:r w:rsidRPr="00A72C26">
        <w:rPr>
          <w:rFonts w:ascii="Cambria" w:eastAsia="Cambria" w:hAnsi="Cambria" w:cs="Cambria"/>
        </w:rPr>
        <w:t>renováveis Desta</w:t>
      </w:r>
      <w:proofErr w:type="gramEnd"/>
      <w:r w:rsidRPr="00A72C26">
        <w:rPr>
          <w:rFonts w:ascii="Cambria" w:eastAsia="Cambria" w:hAnsi="Cambria" w:cs="Cambria"/>
        </w:rPr>
        <w:t xml:space="preserve"> forma, os senhorios têm contornado esta norma, o que até poderá estar a ter o efeito perverso de exponenciar o aumento de contratos anuais. Assim sendo, é urgente corrigir esta lei pelo que </w:t>
      </w:r>
      <w:proofErr w:type="gramStart"/>
      <w:r w:rsidRPr="00A72C26">
        <w:rPr>
          <w:rFonts w:ascii="Cambria" w:eastAsia="Cambria" w:hAnsi="Cambria" w:cs="Cambria"/>
        </w:rPr>
        <w:t>apresenta-se</w:t>
      </w:r>
      <w:proofErr w:type="gramEnd"/>
      <w:r w:rsidRPr="00A72C26">
        <w:rPr>
          <w:rFonts w:ascii="Cambria" w:eastAsia="Cambria" w:hAnsi="Cambria" w:cs="Cambria"/>
        </w:rPr>
        <w:t xml:space="preserve"> a obrigatoriedade de que todos os contratos sejam renováveis, aplicando-se o regime geral de renovação ou de oposição  à mesma. </w:t>
      </w:r>
    </w:p>
    <w:p w14:paraId="482F00F5" w14:textId="30CBCD53" w:rsidR="00966EA6" w:rsidRDefault="003F2CB5" w:rsidP="003001E0">
      <w:pPr>
        <w:spacing w:before="240" w:line="360" w:lineRule="auto"/>
        <w:ind w:left="0" w:hanging="2"/>
        <w:jc w:val="both"/>
        <w:rPr>
          <w:rFonts w:ascii="Cambria" w:eastAsia="Cambria" w:hAnsi="Cambria" w:cs="Cambria"/>
          <w:i/>
        </w:rPr>
      </w:pPr>
      <w:r w:rsidRPr="00A72C26">
        <w:rPr>
          <w:rFonts w:ascii="Cambria" w:eastAsia="Cambria" w:hAnsi="Cambria" w:cs="Cambria"/>
          <w:i/>
        </w:rPr>
        <w:t>Assim, nos termos constitucionais e regimentais aplicáveis, as Deputadas e os Deputados do Bloco de Esquerda, apresentam o seguinte Projeto de Lei:</w:t>
      </w:r>
    </w:p>
    <w:p w14:paraId="4E44A54C" w14:textId="77777777" w:rsidR="00966EA6" w:rsidRPr="00A72C26" w:rsidRDefault="003F2CB5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 w:rsidRPr="00A72C26">
        <w:rPr>
          <w:rFonts w:ascii="Cambria" w:eastAsia="Cambria" w:hAnsi="Cambria" w:cs="Cambria"/>
          <w:b/>
          <w:color w:val="000000"/>
        </w:rPr>
        <w:t>Artigo 1.º</w:t>
      </w:r>
    </w:p>
    <w:p w14:paraId="3A863CD6" w14:textId="77777777" w:rsidR="00966EA6" w:rsidRPr="00A72C26" w:rsidRDefault="003F2CB5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 w:rsidRPr="00A72C26">
        <w:rPr>
          <w:rFonts w:ascii="Cambria" w:eastAsia="Cambria" w:hAnsi="Cambria" w:cs="Cambria"/>
          <w:b/>
          <w:color w:val="000000"/>
        </w:rPr>
        <w:t>Objeto</w:t>
      </w:r>
    </w:p>
    <w:p w14:paraId="4AD8AA9E" w14:textId="77777777" w:rsidR="00966EA6" w:rsidRPr="00A72C26" w:rsidRDefault="003F2CB5">
      <w:pPr>
        <w:spacing w:before="240" w:after="240" w:line="36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 w:rsidRPr="00A72C26">
        <w:rPr>
          <w:rFonts w:ascii="Cambria" w:eastAsia="Cambria" w:hAnsi="Cambria" w:cs="Cambria"/>
          <w:color w:val="000000"/>
        </w:rPr>
        <w:t xml:space="preserve">A presente Lei procede à 78.ª alteração ao Código Civil, aprovado pelo DL n.º 47344/66, de 25 de novembro, garantindo maior estabilidade aos contratos de arrendamento. </w:t>
      </w:r>
    </w:p>
    <w:p w14:paraId="7516572C" w14:textId="77777777" w:rsidR="00966EA6" w:rsidRPr="00A72C26" w:rsidRDefault="00966EA6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</w:rPr>
      </w:pPr>
    </w:p>
    <w:p w14:paraId="751B22C6" w14:textId="77777777" w:rsidR="00966EA6" w:rsidRPr="00A72C26" w:rsidRDefault="003F2CB5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  <w:b/>
        </w:rPr>
        <w:t xml:space="preserve">Artigo 2.º </w:t>
      </w:r>
    </w:p>
    <w:p w14:paraId="2D12066F" w14:textId="77777777" w:rsidR="00966EA6" w:rsidRPr="00A72C26" w:rsidRDefault="003F2CB5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  <w:b/>
        </w:rPr>
        <w:t>Alteração ao Código Civil</w:t>
      </w:r>
    </w:p>
    <w:p w14:paraId="278D9795" w14:textId="02D424EE" w:rsidR="00966EA6" w:rsidRPr="00A72C26" w:rsidRDefault="003F2CB5">
      <w:pPr>
        <w:spacing w:before="240" w:after="240" w:line="360" w:lineRule="auto"/>
        <w:ind w:left="0" w:hanging="2"/>
        <w:jc w:val="both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</w:rPr>
        <w:t xml:space="preserve">São alterados os artigos 1054.º, 1094.º, 1095.º e 1097.º do Código Civil, aprovado pela Lei 6/2006, de 27 de fevereiro, com as posteriores alterações, passam a ter a seguinte redação: </w:t>
      </w:r>
    </w:p>
    <w:p w14:paraId="7DFCFF00" w14:textId="6E81270B" w:rsidR="00966EA6" w:rsidRPr="00A72C26" w:rsidRDefault="0021769C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«</w:t>
      </w:r>
      <w:r w:rsidR="003F2CB5" w:rsidRPr="00A72C26">
        <w:rPr>
          <w:rFonts w:ascii="Cambria" w:eastAsia="Cambria" w:hAnsi="Cambria" w:cs="Cambria"/>
          <w:bCs/>
        </w:rPr>
        <w:t>Artigo 1054.º</w:t>
      </w:r>
    </w:p>
    <w:p w14:paraId="6DCF94F7" w14:textId="77777777" w:rsidR="00966EA6" w:rsidRPr="00A72C26" w:rsidRDefault="003F2CB5">
      <w:pPr>
        <w:spacing w:before="240" w:after="240" w:line="360" w:lineRule="auto"/>
        <w:ind w:left="0" w:hanging="2"/>
        <w:jc w:val="center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</w:rPr>
        <w:t>(...)</w:t>
      </w:r>
    </w:p>
    <w:p w14:paraId="4F92AC35" w14:textId="77777777" w:rsidR="00966EA6" w:rsidRPr="00A72C26" w:rsidRDefault="003F2CB5">
      <w:pPr>
        <w:spacing w:before="240" w:after="240" w:line="360" w:lineRule="auto"/>
        <w:ind w:left="0" w:hanging="2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</w:rPr>
        <w:lastRenderedPageBreak/>
        <w:t xml:space="preserve">1 – (...). </w:t>
      </w:r>
    </w:p>
    <w:p w14:paraId="48E55D6C" w14:textId="77777777" w:rsidR="00966EA6" w:rsidRPr="00A72C26" w:rsidRDefault="003F2CB5">
      <w:pPr>
        <w:spacing w:before="240" w:after="240" w:line="360" w:lineRule="auto"/>
        <w:ind w:left="0" w:hanging="2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</w:rPr>
        <w:t xml:space="preserve">2 – O prazo da renovação é igual ao do contrato. </w:t>
      </w:r>
    </w:p>
    <w:p w14:paraId="223DCEDB" w14:textId="77777777" w:rsidR="00966EA6" w:rsidRPr="00A72C26" w:rsidRDefault="00966EA6">
      <w:pPr>
        <w:spacing w:line="360" w:lineRule="auto"/>
        <w:ind w:left="0" w:hanging="2"/>
        <w:jc w:val="both"/>
        <w:rPr>
          <w:rFonts w:ascii="Cambria" w:eastAsia="Cambria" w:hAnsi="Cambria" w:cs="Cambria"/>
        </w:rPr>
      </w:pPr>
    </w:p>
    <w:tbl>
      <w:tblPr>
        <w:tblStyle w:val="a"/>
        <w:tblW w:w="91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60"/>
      </w:tblGrid>
      <w:tr w:rsidR="00966EA6" w:rsidRPr="00A72C26" w14:paraId="519962FF" w14:textId="77777777">
        <w:tc>
          <w:tcPr>
            <w:tcW w:w="9160" w:type="dxa"/>
            <w:shd w:val="clear" w:color="auto" w:fill="FFFFFF"/>
          </w:tcPr>
          <w:p w14:paraId="71CFBB7E" w14:textId="77777777" w:rsidR="00966EA6" w:rsidRPr="00A72C26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>Artigo 1094.º</w:t>
            </w:r>
          </w:p>
          <w:p w14:paraId="4958B541" w14:textId="77777777" w:rsidR="00966EA6" w:rsidRPr="00A72C26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>(…)</w:t>
            </w:r>
          </w:p>
          <w:p w14:paraId="6B2E486A" w14:textId="77777777" w:rsidR="00966EA6" w:rsidRPr="00A72C26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 xml:space="preserve">1 – (…). </w:t>
            </w:r>
          </w:p>
          <w:p w14:paraId="699D077C" w14:textId="77777777" w:rsidR="00966EA6" w:rsidRPr="00A72C26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 xml:space="preserve">2 – (…). </w:t>
            </w:r>
          </w:p>
          <w:p w14:paraId="48351F5A" w14:textId="77777777" w:rsidR="00966EA6" w:rsidRPr="00A72C26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 xml:space="preserve">3 – (…). </w:t>
            </w:r>
          </w:p>
          <w:p w14:paraId="39008A79" w14:textId="77777777" w:rsidR="00966EA6" w:rsidRPr="00A72C26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 xml:space="preserve">4 – Todos os contratos com prazo certo são renováveis. </w:t>
            </w:r>
          </w:p>
          <w:p w14:paraId="64CD286F" w14:textId="77777777" w:rsidR="00966EA6" w:rsidRPr="00A72C26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  <w:bCs/>
              </w:rPr>
            </w:pPr>
            <w:r w:rsidRPr="00A72C26">
              <w:rPr>
                <w:rFonts w:ascii="Cambria" w:eastAsia="Cambria" w:hAnsi="Cambria" w:cs="Cambria"/>
                <w:bCs/>
              </w:rPr>
              <w:t>Artigo 1095.º</w:t>
            </w:r>
          </w:p>
          <w:p w14:paraId="2D951A6B" w14:textId="77777777" w:rsidR="00966EA6" w:rsidRPr="00A72C26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>(…)</w:t>
            </w:r>
          </w:p>
          <w:p w14:paraId="4C234A85" w14:textId="77777777" w:rsidR="00966EA6" w:rsidRPr="00A72C26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 xml:space="preserve">1 – (…). </w:t>
            </w:r>
          </w:p>
          <w:p w14:paraId="00EEAD62" w14:textId="77777777" w:rsidR="00966EA6" w:rsidRPr="00A72C26" w:rsidRDefault="003F2CB5">
            <w:pPr>
              <w:spacing w:before="240" w:after="240" w:line="36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 xml:space="preserve">2 - O prazo referido no número anterior não pode, contudo, ser inferior </w:t>
            </w:r>
            <w:r w:rsidRPr="00A72C26">
              <w:rPr>
                <w:rFonts w:ascii="Cambria" w:eastAsia="Cambria" w:hAnsi="Cambria" w:cs="Cambria"/>
                <w:b/>
              </w:rPr>
              <w:t>a cinco</w:t>
            </w:r>
            <w:r w:rsidRPr="00A72C26">
              <w:rPr>
                <w:rFonts w:ascii="Cambria" w:eastAsia="Cambria" w:hAnsi="Cambria" w:cs="Cambria"/>
              </w:rPr>
              <w:t xml:space="preserve"> nem superior a 30 anos, considerando-se automaticamente ampliado ou reduzido aos referidos limites mínimo e máximo quando, respetivamente, fique aquém do primeiro ou ultrapasse o segundo.</w:t>
            </w:r>
          </w:p>
          <w:p w14:paraId="5F7E2CA4" w14:textId="77777777" w:rsidR="00966EA6" w:rsidRPr="00A72C26" w:rsidRDefault="003F2CB5">
            <w:pPr>
              <w:spacing w:before="240" w:after="240" w:line="36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>3 – (…).</w:t>
            </w:r>
          </w:p>
          <w:p w14:paraId="06837795" w14:textId="77777777" w:rsidR="00966EA6" w:rsidRPr="00A72C26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 xml:space="preserve">Artigo 1097.º </w:t>
            </w:r>
          </w:p>
          <w:p w14:paraId="7C8F5290" w14:textId="77777777" w:rsidR="00966EA6" w:rsidRPr="00A72C26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>(…)</w:t>
            </w:r>
          </w:p>
          <w:p w14:paraId="215F4A70" w14:textId="77777777" w:rsidR="00966EA6" w:rsidRPr="00A72C26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 xml:space="preserve">1 – (…). </w:t>
            </w:r>
          </w:p>
          <w:p w14:paraId="5FB7625C" w14:textId="77777777" w:rsidR="00966EA6" w:rsidRPr="00A72C26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 xml:space="preserve">2 – (…). </w:t>
            </w:r>
          </w:p>
          <w:p w14:paraId="19453BB1" w14:textId="77777777" w:rsidR="00966EA6" w:rsidRPr="00A72C26" w:rsidRDefault="003F2CB5">
            <w:pPr>
              <w:spacing w:before="240" w:after="240" w:line="36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lastRenderedPageBreak/>
              <w:t xml:space="preserve">3 - </w:t>
            </w:r>
            <w:r w:rsidRPr="00A72C26">
              <w:rPr>
                <w:rFonts w:ascii="Cambria" w:eastAsia="Cambria" w:hAnsi="Cambria" w:cs="Cambria"/>
                <w:b/>
              </w:rPr>
              <w:t>A denúncia</w:t>
            </w:r>
            <w:r w:rsidRPr="00A72C26">
              <w:rPr>
                <w:rFonts w:ascii="Cambria" w:eastAsia="Cambria" w:hAnsi="Cambria" w:cs="Cambria"/>
              </w:rPr>
              <w:t xml:space="preserve"> e a oposição à primeira renovação do contrato, por parte do senhorio, apenas produz efeitos decorridos </w:t>
            </w:r>
            <w:r w:rsidRPr="00A72C26">
              <w:rPr>
                <w:rFonts w:ascii="Cambria" w:eastAsia="Cambria" w:hAnsi="Cambria" w:cs="Cambria"/>
                <w:b/>
              </w:rPr>
              <w:t>cinco</w:t>
            </w:r>
            <w:r w:rsidRPr="00A72C26">
              <w:rPr>
                <w:rFonts w:ascii="Cambria" w:eastAsia="Cambria" w:hAnsi="Cambria" w:cs="Cambria"/>
              </w:rPr>
              <w:t xml:space="preserve"> anos da celebração do mesmo, mantendo-se o contrato inicial em vigor até essa data, sem prejuízo do disposto no número seguinte.</w:t>
            </w:r>
          </w:p>
          <w:p w14:paraId="100FA7BB" w14:textId="1C75271E" w:rsidR="00966EA6" w:rsidRPr="00A72C26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>4 – (…).</w:t>
            </w:r>
            <w:r w:rsidR="0021769C">
              <w:rPr>
                <w:rFonts w:ascii="Cambria" w:eastAsia="Cambria" w:hAnsi="Cambria" w:cs="Cambria"/>
              </w:rPr>
              <w:t>»</w:t>
            </w:r>
          </w:p>
          <w:p w14:paraId="43A26DC7" w14:textId="77777777" w:rsidR="00966EA6" w:rsidRPr="00A72C26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  <w:b/>
              </w:rPr>
              <w:t xml:space="preserve">Artigo 3.º </w:t>
            </w:r>
          </w:p>
          <w:p w14:paraId="495A31A7" w14:textId="77777777" w:rsidR="00966EA6" w:rsidRPr="00A72C26" w:rsidRDefault="003F2CB5">
            <w:pPr>
              <w:spacing w:before="240" w:after="240" w:line="36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  <w:b/>
              </w:rPr>
              <w:t xml:space="preserve">Repristinação </w:t>
            </w:r>
          </w:p>
          <w:p w14:paraId="242F9CA6" w14:textId="77777777" w:rsidR="00966EA6" w:rsidRPr="00A72C26" w:rsidRDefault="003F2CB5">
            <w:pPr>
              <w:spacing w:before="240" w:after="240" w:line="360" w:lineRule="auto"/>
              <w:ind w:left="0" w:hanging="2"/>
              <w:rPr>
                <w:rFonts w:ascii="Cambria" w:eastAsia="Cambria" w:hAnsi="Cambria" w:cs="Cambria"/>
              </w:rPr>
            </w:pPr>
            <w:r w:rsidRPr="00A72C26">
              <w:rPr>
                <w:rFonts w:ascii="Cambria" w:eastAsia="Cambria" w:hAnsi="Cambria" w:cs="Cambria"/>
              </w:rPr>
              <w:t xml:space="preserve">É repristinada a versão do artigo 1102.º do Código Civil dada pela Lei n.º 6/2006, de 27 de fevereiro. </w:t>
            </w:r>
          </w:p>
        </w:tc>
      </w:tr>
    </w:tbl>
    <w:p w14:paraId="0477B08D" w14:textId="77777777" w:rsidR="00966EA6" w:rsidRPr="00A72C26" w:rsidRDefault="003F2CB5">
      <w:pPr>
        <w:spacing w:before="120"/>
        <w:ind w:left="0" w:hanging="2"/>
        <w:jc w:val="center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  <w:b/>
        </w:rPr>
        <w:lastRenderedPageBreak/>
        <w:t>Artigo 4.º</w:t>
      </w:r>
    </w:p>
    <w:p w14:paraId="7EBCB183" w14:textId="77777777" w:rsidR="00966EA6" w:rsidRPr="00A72C26" w:rsidRDefault="003F2CB5">
      <w:pPr>
        <w:spacing w:before="120"/>
        <w:ind w:left="0" w:hanging="2"/>
        <w:jc w:val="center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  <w:b/>
        </w:rPr>
        <w:t>Entrada em vigor</w:t>
      </w:r>
    </w:p>
    <w:p w14:paraId="27F2F9CF" w14:textId="77777777" w:rsidR="00966EA6" w:rsidRPr="00A72C26" w:rsidRDefault="003F2CB5">
      <w:pPr>
        <w:tabs>
          <w:tab w:val="left" w:pos="709"/>
        </w:tabs>
        <w:spacing w:before="240" w:line="276" w:lineRule="auto"/>
        <w:ind w:left="0" w:hanging="2"/>
        <w:rPr>
          <w:rFonts w:ascii="Cambria" w:eastAsia="Cambria" w:hAnsi="Cambria" w:cs="Cambria"/>
        </w:rPr>
      </w:pPr>
      <w:bookmarkStart w:id="1" w:name="_heading=h.3znysh71" w:colFirst="0" w:colLast="0"/>
      <w:bookmarkEnd w:id="1"/>
      <w:r w:rsidRPr="00A72C26">
        <w:rPr>
          <w:rFonts w:ascii="Cambria" w:eastAsia="Cambria" w:hAnsi="Cambria" w:cs="Cambria"/>
        </w:rPr>
        <w:t>A presente lei entra em vigor no dia seguinte ao da sua publicação.</w:t>
      </w:r>
    </w:p>
    <w:p w14:paraId="2F66408F" w14:textId="77777777" w:rsidR="00966EA6" w:rsidRPr="00A72C26" w:rsidRDefault="003F2CB5">
      <w:pPr>
        <w:tabs>
          <w:tab w:val="left" w:pos="709"/>
        </w:tabs>
        <w:spacing w:before="120" w:line="276" w:lineRule="auto"/>
        <w:ind w:left="0" w:hanging="2"/>
        <w:rPr>
          <w:rFonts w:ascii="Cambria" w:eastAsia="Cambria" w:hAnsi="Cambria" w:cs="Cambria"/>
        </w:rPr>
      </w:pPr>
      <w:bookmarkStart w:id="2" w:name="_heading=h.2et92p0" w:colFirst="0" w:colLast="0"/>
      <w:bookmarkEnd w:id="2"/>
      <w:r w:rsidRPr="00A72C26">
        <w:rPr>
          <w:rFonts w:ascii="Cambria" w:eastAsia="Cambria" w:hAnsi="Cambria" w:cs="Cambria"/>
          <w:noProof/>
        </w:rPr>
        <w:drawing>
          <wp:inline distT="0" distB="0" distL="114300" distR="114300" wp14:anchorId="40303A1B" wp14:editId="1531E18C">
            <wp:extent cx="20320" cy="19685"/>
            <wp:effectExtent l="0" t="0" r="0" b="0"/>
            <wp:docPr id="1027" name="image1.png" descr="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sl.gstatic.com/ui/v1/icons/mail/images/cleardot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C776EF" w14:textId="77777777" w:rsidR="00966EA6" w:rsidRPr="00A72C26" w:rsidRDefault="003F2CB5">
      <w:pPr>
        <w:tabs>
          <w:tab w:val="left" w:pos="709"/>
        </w:tabs>
        <w:spacing w:before="120" w:line="360" w:lineRule="auto"/>
        <w:ind w:left="0" w:hanging="2"/>
        <w:jc w:val="center"/>
        <w:rPr>
          <w:rFonts w:ascii="Cambria" w:eastAsia="Cambria" w:hAnsi="Cambria" w:cs="Cambria"/>
        </w:rPr>
      </w:pPr>
      <w:r w:rsidRPr="00A72C26">
        <w:rPr>
          <w:rFonts w:ascii="Cambria" w:eastAsia="Cambria" w:hAnsi="Cambria" w:cs="Cambria"/>
        </w:rPr>
        <w:t xml:space="preserve">Assembleia da República, </w:t>
      </w:r>
      <w:r w:rsidR="00054580" w:rsidRPr="00A72C26">
        <w:rPr>
          <w:rFonts w:ascii="Cambria" w:eastAsia="Cambria" w:hAnsi="Cambria" w:cs="Cambria"/>
        </w:rPr>
        <w:t xml:space="preserve">12 </w:t>
      </w:r>
      <w:r w:rsidRPr="00A72C26">
        <w:rPr>
          <w:rFonts w:ascii="Cambria" w:eastAsia="Cambria" w:hAnsi="Cambria" w:cs="Cambria"/>
        </w:rPr>
        <w:t xml:space="preserve">de </w:t>
      </w:r>
      <w:r w:rsidR="00054580" w:rsidRPr="00A72C26">
        <w:rPr>
          <w:rFonts w:ascii="Cambria" w:eastAsia="Cambria" w:hAnsi="Cambria" w:cs="Cambria"/>
        </w:rPr>
        <w:t>novembro</w:t>
      </w:r>
      <w:r w:rsidRPr="00A72C26">
        <w:rPr>
          <w:rFonts w:ascii="Cambria" w:eastAsia="Cambria" w:hAnsi="Cambria" w:cs="Cambria"/>
        </w:rPr>
        <w:t xml:space="preserve"> de 2021.</w:t>
      </w:r>
    </w:p>
    <w:p w14:paraId="7F2A5F26" w14:textId="4E258C27" w:rsidR="00966EA6" w:rsidRDefault="003F2CB5">
      <w:pPr>
        <w:widowControl w:val="0"/>
        <w:tabs>
          <w:tab w:val="left" w:pos="709"/>
        </w:tabs>
        <w:spacing w:before="120" w:line="36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 w:rsidRPr="00A72C26">
        <w:rPr>
          <w:rFonts w:ascii="Cambria" w:eastAsia="Cambria" w:hAnsi="Cambria" w:cs="Cambria"/>
          <w:color w:val="000000"/>
        </w:rPr>
        <w:t>As Deputadas e os Deputados do Bloco de Esquerda,</w:t>
      </w:r>
    </w:p>
    <w:p w14:paraId="117EA22A" w14:textId="77777777" w:rsidR="00A72C26" w:rsidRPr="00A72C26" w:rsidRDefault="00A72C26" w:rsidP="00A72C26">
      <w:pPr>
        <w:widowControl w:val="0"/>
        <w:tabs>
          <w:tab w:val="left" w:pos="709"/>
        </w:tabs>
        <w:spacing w:before="120" w:line="36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3AA7A9C1" w14:textId="77777777" w:rsidR="00A72C26" w:rsidRDefault="00A72C26" w:rsidP="00A72C26">
      <w:pPr>
        <w:spacing w:line="360" w:lineRule="auto"/>
        <w:ind w:left="0" w:hanging="2"/>
        <w:jc w:val="center"/>
        <w:rPr>
          <w:rFonts w:ascii="Cambria" w:hAnsi="Cambria"/>
        </w:rPr>
      </w:pPr>
      <w:bookmarkStart w:id="3" w:name="_Hlk50459363"/>
      <w:bookmarkStart w:id="4" w:name="_Hlk41424335"/>
      <w:bookmarkStart w:id="5" w:name="_Hlk36637495"/>
      <w:r w:rsidRPr="00575D2D">
        <w:rPr>
          <w:rFonts w:ascii="Cambria" w:hAnsi="Cambria"/>
        </w:rPr>
        <w:t xml:space="preserve">Maria Manuel Rola; </w:t>
      </w:r>
      <w:r>
        <w:rPr>
          <w:rFonts w:ascii="Cambria" w:hAnsi="Cambria"/>
        </w:rPr>
        <w:t xml:space="preserve">Pedro Filipe Soares; </w:t>
      </w:r>
      <w:r w:rsidRPr="00575D2D">
        <w:rPr>
          <w:rFonts w:ascii="Cambria" w:hAnsi="Cambria"/>
        </w:rPr>
        <w:t xml:space="preserve">Jorge Costa; Mariana Mortágua; </w:t>
      </w:r>
    </w:p>
    <w:p w14:paraId="5B66AFE0" w14:textId="77777777" w:rsidR="00A72C26" w:rsidRDefault="00A72C26" w:rsidP="00A72C26">
      <w:pPr>
        <w:spacing w:line="360" w:lineRule="auto"/>
        <w:ind w:left="0" w:hanging="2"/>
        <w:jc w:val="center"/>
        <w:rPr>
          <w:rFonts w:ascii="Cambria" w:hAnsi="Cambria"/>
        </w:rPr>
      </w:pPr>
      <w:r w:rsidRPr="00575D2D">
        <w:rPr>
          <w:rFonts w:ascii="Cambria" w:hAnsi="Cambria"/>
        </w:rPr>
        <w:t>Alexandra Vieira;</w:t>
      </w:r>
      <w:r>
        <w:rPr>
          <w:rFonts w:ascii="Cambria" w:hAnsi="Cambria"/>
        </w:rPr>
        <w:t xml:space="preserve"> </w:t>
      </w:r>
      <w:r w:rsidRPr="00575D2D">
        <w:rPr>
          <w:rFonts w:ascii="Cambria" w:hAnsi="Cambria"/>
        </w:rPr>
        <w:t xml:space="preserve">Beatriz Dias; </w:t>
      </w:r>
      <w:r>
        <w:rPr>
          <w:rFonts w:ascii="Cambria" w:hAnsi="Cambria"/>
        </w:rPr>
        <w:t xml:space="preserve">Diana Santos; </w:t>
      </w:r>
      <w:r w:rsidRPr="00575D2D">
        <w:rPr>
          <w:rFonts w:ascii="Cambria" w:hAnsi="Cambria"/>
        </w:rPr>
        <w:t xml:space="preserve">Fabíola Cardoso; Isabel Pires; </w:t>
      </w:r>
    </w:p>
    <w:p w14:paraId="1D6A2912" w14:textId="1F3DCD92" w:rsidR="00A72C26" w:rsidRDefault="00A72C26" w:rsidP="00A72C26">
      <w:pPr>
        <w:spacing w:line="360" w:lineRule="auto"/>
        <w:ind w:left="0" w:hanging="2"/>
        <w:jc w:val="center"/>
        <w:rPr>
          <w:rFonts w:ascii="Cambria" w:hAnsi="Cambria"/>
        </w:rPr>
      </w:pPr>
      <w:r w:rsidRPr="00575D2D">
        <w:rPr>
          <w:rFonts w:ascii="Cambria" w:hAnsi="Cambria"/>
        </w:rPr>
        <w:t>Joana Mortágua;</w:t>
      </w:r>
      <w:r>
        <w:rPr>
          <w:rFonts w:ascii="Cambria" w:hAnsi="Cambria"/>
        </w:rPr>
        <w:t xml:space="preserve"> </w:t>
      </w:r>
      <w:r w:rsidRPr="00575D2D">
        <w:rPr>
          <w:rFonts w:ascii="Cambria" w:hAnsi="Cambria"/>
        </w:rPr>
        <w:t>João Vasconcelos;</w:t>
      </w:r>
      <w:r>
        <w:rPr>
          <w:rFonts w:ascii="Cambria" w:hAnsi="Cambria"/>
        </w:rPr>
        <w:t xml:space="preserve"> </w:t>
      </w:r>
      <w:r w:rsidRPr="00575D2D">
        <w:rPr>
          <w:rFonts w:ascii="Cambria" w:hAnsi="Cambria"/>
        </w:rPr>
        <w:t>José Manuel Pureza; José Maria Cardoso; José Soeiro; Luís Monteiro; Moisés Ferreira; N</w:t>
      </w:r>
      <w:r>
        <w:rPr>
          <w:rFonts w:ascii="Cambria" w:hAnsi="Cambria"/>
        </w:rPr>
        <w:t>e</w:t>
      </w:r>
      <w:r w:rsidRPr="00575D2D">
        <w:rPr>
          <w:rFonts w:ascii="Cambria" w:hAnsi="Cambria"/>
        </w:rPr>
        <w:t>lson Peralta; Ricardo Vicente; Catarina Martins</w:t>
      </w:r>
    </w:p>
    <w:bookmarkEnd w:id="3"/>
    <w:bookmarkEnd w:id="4"/>
    <w:bookmarkEnd w:id="5"/>
    <w:p w14:paraId="17913B15" w14:textId="77777777" w:rsidR="00966EA6" w:rsidRDefault="00966EA6">
      <w:pPr>
        <w:widowControl w:val="0"/>
        <w:tabs>
          <w:tab w:val="left" w:pos="709"/>
        </w:tabs>
        <w:spacing w:before="120" w:line="360" w:lineRule="auto"/>
        <w:ind w:left="0" w:hanging="2"/>
        <w:rPr>
          <w:rFonts w:ascii="Cambria" w:eastAsia="Cambria" w:hAnsi="Cambria" w:cs="Cambria"/>
          <w:color w:val="000000"/>
        </w:rPr>
      </w:pPr>
    </w:p>
    <w:p w14:paraId="39944076" w14:textId="77777777" w:rsidR="00966EA6" w:rsidRDefault="00966EA6">
      <w:pPr>
        <w:widowControl w:val="0"/>
        <w:tabs>
          <w:tab w:val="left" w:pos="709"/>
        </w:tabs>
        <w:spacing w:before="120" w:line="360" w:lineRule="auto"/>
        <w:ind w:left="0" w:hanging="2"/>
      </w:pPr>
    </w:p>
    <w:p w14:paraId="0779D2AD" w14:textId="77777777" w:rsidR="00966EA6" w:rsidRDefault="00966EA6">
      <w:pPr>
        <w:widowControl w:val="0"/>
        <w:spacing w:before="120" w:line="360" w:lineRule="auto"/>
        <w:ind w:left="0" w:hanging="2"/>
        <w:jc w:val="center"/>
      </w:pPr>
    </w:p>
    <w:sectPr w:rsidR="00966E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67206" w14:textId="77777777" w:rsidR="00C2095A" w:rsidRDefault="00C2095A">
      <w:pPr>
        <w:spacing w:line="240" w:lineRule="auto"/>
        <w:ind w:left="0" w:hanging="2"/>
      </w:pPr>
      <w:r>
        <w:separator/>
      </w:r>
    </w:p>
  </w:endnote>
  <w:endnote w:type="continuationSeparator" w:id="0">
    <w:p w14:paraId="3F93E64D" w14:textId="77777777" w:rsidR="00C2095A" w:rsidRDefault="00C209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AA5E" w14:textId="77777777" w:rsidR="0021769C" w:rsidRDefault="0021769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D5D7" w14:textId="77777777" w:rsidR="00966EA6" w:rsidRDefault="003F2CB5">
    <w:pPr>
      <w:pBdr>
        <w:top w:val="single" w:sz="24" w:space="5" w:color="9BBB59"/>
      </w:pBdr>
      <w:tabs>
        <w:tab w:val="center" w:pos="4252"/>
        <w:tab w:val="right" w:pos="8504"/>
      </w:tabs>
      <w:ind w:left="0" w:hanging="2"/>
      <w:jc w:val="center"/>
    </w:pPr>
    <w:r>
      <w:rPr>
        <w:rFonts w:ascii="Calibri" w:eastAsia="Calibri" w:hAnsi="Calibri" w:cs="Calibri"/>
        <w:color w:val="000000"/>
        <w:sz w:val="18"/>
        <w:szCs w:val="18"/>
      </w:rPr>
      <w:t xml:space="preserve">        </w:t>
    </w:r>
    <w:r>
      <w:rPr>
        <w:rFonts w:ascii="Calibri" w:eastAsia="Calibri" w:hAnsi="Calibri" w:cs="Calibri"/>
        <w:color w:val="D3454F"/>
        <w:sz w:val="18"/>
        <w:szCs w:val="18"/>
      </w:rPr>
      <w:t>Assembleia da República - Palácio de S. Bento - 1249-068 Lisboa - Telefone: 21 391 7592 - Fax: 21 391 7459</w:t>
    </w:r>
  </w:p>
  <w:p w14:paraId="5D86896C" w14:textId="16135F01" w:rsidR="00966EA6" w:rsidRPr="00A72C26" w:rsidRDefault="003F2CB5">
    <w:pPr>
      <w:pBdr>
        <w:top w:val="single" w:sz="24" w:space="5" w:color="9BBB59"/>
      </w:pBdr>
      <w:tabs>
        <w:tab w:val="center" w:pos="4252"/>
        <w:tab w:val="right" w:pos="8504"/>
      </w:tabs>
      <w:ind w:left="0" w:hanging="2"/>
      <w:jc w:val="center"/>
      <w:rPr>
        <w:rFonts w:ascii="Calibri" w:eastAsia="Calibri" w:hAnsi="Calibri" w:cs="Calibri"/>
        <w:color w:val="D3454F"/>
        <w:sz w:val="18"/>
        <w:szCs w:val="18"/>
        <w:lang w:val="en-GB"/>
      </w:rPr>
    </w:pPr>
    <w:r w:rsidRPr="00A72C26">
      <w:rPr>
        <w:rFonts w:ascii="Calibri" w:eastAsia="Calibri" w:hAnsi="Calibri" w:cs="Calibri"/>
        <w:color w:val="D3454F"/>
        <w:sz w:val="18"/>
        <w:szCs w:val="18"/>
        <w:lang w:val="en-GB"/>
      </w:rPr>
      <w:t>Email: bloco.esquerda@be.parlamento.pt - http://</w:t>
    </w:r>
    <w:r w:rsidR="0021769C">
      <w:rPr>
        <w:rFonts w:ascii="Calibri" w:eastAsia="Calibri" w:hAnsi="Calibri" w:cs="Calibri"/>
        <w:color w:val="D3454F"/>
        <w:sz w:val="18"/>
        <w:szCs w:val="18"/>
        <w:lang w:val="en-GB"/>
      </w:rPr>
      <w:t>parlamento.bloco.org</w:t>
    </w:r>
    <w:r w:rsidRPr="00A72C26">
      <w:rPr>
        <w:rFonts w:ascii="Calibri" w:eastAsia="Calibri" w:hAnsi="Calibri" w:cs="Calibri"/>
        <w:color w:val="D3454F"/>
        <w:sz w:val="18"/>
        <w:szCs w:val="18"/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EA56" w14:textId="77777777" w:rsidR="0021769C" w:rsidRDefault="0021769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C9D98" w14:textId="77777777" w:rsidR="00C2095A" w:rsidRDefault="00C2095A">
      <w:pPr>
        <w:spacing w:line="240" w:lineRule="auto"/>
        <w:ind w:left="0" w:hanging="2"/>
      </w:pPr>
      <w:r>
        <w:separator/>
      </w:r>
    </w:p>
  </w:footnote>
  <w:footnote w:type="continuationSeparator" w:id="0">
    <w:p w14:paraId="0072D98A" w14:textId="77777777" w:rsidR="00C2095A" w:rsidRDefault="00C209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91D5" w14:textId="77777777" w:rsidR="0021769C" w:rsidRDefault="0021769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106E" w14:textId="77777777" w:rsidR="00966EA6" w:rsidRDefault="00966EA6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2679" w14:textId="77777777" w:rsidR="0021769C" w:rsidRDefault="0021769C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A6"/>
    <w:rsid w:val="00054580"/>
    <w:rsid w:val="000A723C"/>
    <w:rsid w:val="0021769C"/>
    <w:rsid w:val="002F73C3"/>
    <w:rsid w:val="003001E0"/>
    <w:rsid w:val="003F2CB5"/>
    <w:rsid w:val="005022A2"/>
    <w:rsid w:val="00555DB7"/>
    <w:rsid w:val="00966EA6"/>
    <w:rsid w:val="00982E4B"/>
    <w:rsid w:val="00A72C26"/>
    <w:rsid w:val="00C2095A"/>
    <w:rsid w:val="00E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E6F7"/>
  <w15:docId w15:val="{BD076E2C-9CDF-4F47-AB89-C992B04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  <w:sz w:val="28"/>
      <w:szCs w:val="28"/>
      <w:u w:val="single"/>
    </w:rPr>
  </w:style>
  <w:style w:type="character" w:customStyle="1" w:styleId="CabealhoCarter">
    <w:name w:val="Cabeçalho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ter">
    <w:name w:val="Rodapé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arter">
    <w:name w:val="Texto de balão Caráte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arter1">
    <w:name w:val="Texto de comentário Caráte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ecomentrioCarter">
    <w:name w:val="Assunto de comentário Caráte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decomentrioCarter">
    <w:name w:val="Texto de comentário Carát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textoCarter">
    <w:name w:val="Corpo de texto Carát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</w:style>
  <w:style w:type="paragraph" w:styleId="Cabealho">
    <w:name w:val="header"/>
    <w:basedOn w:val="Normal"/>
    <w:qFormat/>
  </w:style>
  <w:style w:type="paragraph" w:styleId="Rodap">
    <w:name w:val="footer"/>
    <w:basedOn w:val="Normal"/>
    <w:qFormat/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qFormat/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escuro">
    <w:name w:val="textoescur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11verde">
    <w:name w:val="link11verde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A8dFO8a1hc/RNFkOHPklzyHfQ==">AMUW2mXKAffrrQ/Z8ULezcRQ6oxOWbO0cswUDoTj69xQ6BkcQ4GeUmArb4NEKdv7lC0f7vU1sx+qAm+UcEOy6HamrszD/ByAvRL4bdQQD3skasw7E2Pean2tzY7Nb2di4dV45GaPAAuRPYt/g8q9dxv+mMfptNVQfA==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2021-11-12T00:00:00+00:00</DataDocumento>
    <IDFase xmlns="2e97e158-1a31-4bff-9a0a-f8ebffd34ea8">0</IDFase>
    <IDIniciativa xmlns="2e97e158-1a31-4bff-9a0a-f8ebffd34ea8">121268</IDIniciativa>
    <TipoDocumento xmlns="2e97e158-1a31-4bff-9a0a-f8ebffd34ea8">Texto</TipoDocumento>
    <NomeOriginalFicheiro xmlns="2e97e158-1a31-4bff-9a0a-f8ebffd34ea8">pjl1020-XIV.docx</NomeOriginalFicheiro>
    <NROrdem xmlns="2e97e158-1a31-4bff-9a0a-f8ebffd34ea8">1</NROrdem>
    <PublicarInternet xmlns="2e97e158-1a31-4bff-9a0a-f8ebffd34ea8">true</PublicarInternet>
    <NRIniciativa xmlns="2e97e158-1a31-4bff-9a0a-f8ebffd34ea8">1020</NRIniciativa>
    <Legislatura xmlns="2e97e158-1a31-4bff-9a0a-f8ebffd34ea8">XIV</Legislatura>
    <Sessao xmlns="2e97e158-1a31-4bff-9a0a-f8ebffd34ea8">3ª</Sessao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23AC83-B2F2-42E6-91DC-2D717E057AC4}"/>
</file>

<file path=customXml/itemProps3.xml><?xml version="1.0" encoding="utf-8"?>
<ds:datastoreItem xmlns:ds="http://schemas.openxmlformats.org/officeDocument/2006/customXml" ds:itemID="{C13A8A2F-A88B-4165-9A0F-E823895B871E}"/>
</file>

<file path=customXml/itemProps4.xml><?xml version="1.0" encoding="utf-8"?>
<ds:datastoreItem xmlns:ds="http://schemas.openxmlformats.org/officeDocument/2006/customXml" ds:itemID="{6A90EAA5-A8CD-4B10-BA33-50E8F24C7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4010</Characters>
  <Application>Microsoft Office Word</Application>
  <DocSecurity>4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 </dc:title>
  <dc:creator>Gonçalo Russo</dc:creator>
  <cp:lastModifiedBy>Teresa Lamas</cp:lastModifiedBy>
  <cp:revision>2</cp:revision>
  <dcterms:created xsi:type="dcterms:W3CDTF">2021-11-12T14:56:00Z</dcterms:created>
  <dcterms:modified xsi:type="dcterms:W3CDTF">2021-11-12T14:56:00Z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0x01010023E375C1FBF74D42B2ACAE3B54768E18002467D4126C4F1348B90A2F529CCBE711</vt:lpwstr>
  </property>
  <property fmtid="{D5CDD505-2E9C-101B-9397-08002B2CF9AE}" pid="9" name="Order">
    <vt:r8>725100</vt:r8>
  </property>
</Properties>
</file>