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933E" w14:textId="0A766496" w:rsidR="00E54319" w:rsidRDefault="00BD3B0F" w:rsidP="00E54319">
      <w:pPr>
        <w:suppressAutoHyphens/>
        <w:spacing w:after="200" w:line="360" w:lineRule="auto"/>
        <w:jc w:val="center"/>
        <w:rPr>
          <w:rFonts w:eastAsia="Calibri" w:cstheme="minorHAnsi"/>
          <w:b/>
          <w:lang w:eastAsia="zh-CN"/>
        </w:rPr>
      </w:pPr>
      <w:r>
        <w:rPr>
          <w:rFonts w:eastAsia="Calibri" w:cstheme="minorHAnsi"/>
          <w:b/>
          <w:lang w:eastAsia="zh-CN"/>
        </w:rPr>
        <w:t>P</w:t>
      </w:r>
      <w:r w:rsidR="001A0684" w:rsidRPr="001A0684">
        <w:rPr>
          <w:rFonts w:eastAsia="Calibri" w:cstheme="minorHAnsi"/>
          <w:b/>
          <w:lang w:eastAsia="zh-CN"/>
        </w:rPr>
        <w:t xml:space="preserve">rojeto de </w:t>
      </w:r>
      <w:r>
        <w:rPr>
          <w:rFonts w:eastAsia="Calibri" w:cstheme="minorHAnsi"/>
          <w:b/>
          <w:lang w:eastAsia="zh-CN"/>
        </w:rPr>
        <w:t>R</w:t>
      </w:r>
      <w:r w:rsidR="001A0684" w:rsidRPr="001A0684">
        <w:rPr>
          <w:rFonts w:eastAsia="Calibri" w:cstheme="minorHAnsi"/>
          <w:b/>
          <w:lang w:eastAsia="zh-CN"/>
        </w:rPr>
        <w:t xml:space="preserve">esolução n.º </w:t>
      </w:r>
      <w:r w:rsidR="00050072">
        <w:rPr>
          <w:rFonts w:eastAsia="Calibri" w:cstheme="minorHAnsi"/>
          <w:b/>
          <w:lang w:eastAsia="zh-CN"/>
        </w:rPr>
        <w:t>431</w:t>
      </w:r>
      <w:r w:rsidR="001A0684" w:rsidRPr="001A0684">
        <w:rPr>
          <w:rFonts w:eastAsia="Calibri" w:cstheme="minorHAnsi"/>
          <w:b/>
          <w:lang w:eastAsia="zh-CN"/>
        </w:rPr>
        <w:t>/XIV</w:t>
      </w:r>
    </w:p>
    <w:p w14:paraId="486D7CF7" w14:textId="0D8481E1" w:rsidR="001F71FF" w:rsidRDefault="00E54319" w:rsidP="00E54319">
      <w:pPr>
        <w:suppressAutoHyphens/>
        <w:spacing w:after="200" w:line="360" w:lineRule="auto"/>
        <w:jc w:val="center"/>
        <w:rPr>
          <w:rFonts w:eastAsia="Calibri" w:cstheme="minorHAnsi"/>
          <w:b/>
          <w:lang w:eastAsia="zh-CN"/>
        </w:rPr>
      </w:pPr>
      <w:r>
        <w:rPr>
          <w:rFonts w:eastAsia="Calibri" w:cstheme="minorHAnsi"/>
          <w:b/>
          <w:lang w:eastAsia="zh-CN"/>
        </w:rPr>
        <w:t xml:space="preserve">Recomenda ao Governo que </w:t>
      </w:r>
      <w:r w:rsidR="00740100">
        <w:rPr>
          <w:rFonts w:eastAsia="Calibri" w:cstheme="minorHAnsi"/>
          <w:b/>
          <w:lang w:eastAsia="zh-CN"/>
        </w:rPr>
        <w:t>assegure a</w:t>
      </w:r>
      <w:r w:rsidRPr="00E54319">
        <w:rPr>
          <w:rFonts w:eastAsia="Calibri" w:cstheme="minorHAnsi"/>
          <w:b/>
          <w:lang w:eastAsia="zh-CN"/>
        </w:rPr>
        <w:t xml:space="preserve"> qualidade de serviço</w:t>
      </w:r>
      <w:r>
        <w:rPr>
          <w:rFonts w:eastAsia="Calibri" w:cstheme="minorHAnsi"/>
          <w:b/>
          <w:lang w:eastAsia="zh-CN"/>
        </w:rPr>
        <w:t xml:space="preserve"> dos aterros em Portugal</w:t>
      </w:r>
    </w:p>
    <w:p w14:paraId="0BBC2104" w14:textId="16BEE7DD" w:rsidR="00E54319" w:rsidRDefault="00E54319" w:rsidP="00E54319">
      <w:pPr>
        <w:suppressAutoHyphens/>
        <w:spacing w:after="200" w:line="360" w:lineRule="auto"/>
        <w:jc w:val="center"/>
        <w:rPr>
          <w:rFonts w:eastAsia="Calibri" w:cstheme="minorHAnsi"/>
          <w:b/>
          <w:lang w:eastAsia="zh-CN"/>
        </w:rPr>
      </w:pPr>
    </w:p>
    <w:p w14:paraId="34D1BB30" w14:textId="4F5CE830" w:rsidR="00BD3B0F" w:rsidRPr="001F71FF" w:rsidRDefault="00BD3B0F" w:rsidP="00E54319">
      <w:pPr>
        <w:suppressAutoHyphens/>
        <w:spacing w:after="200" w:line="360" w:lineRule="auto"/>
        <w:jc w:val="center"/>
        <w:rPr>
          <w:rFonts w:eastAsia="Calibri" w:cstheme="minorHAnsi"/>
          <w:b/>
          <w:lang w:eastAsia="zh-CN"/>
        </w:rPr>
      </w:pPr>
      <w:r>
        <w:rPr>
          <w:rFonts w:eastAsia="Calibri" w:cstheme="minorHAnsi"/>
          <w:b/>
          <w:lang w:eastAsia="zh-CN"/>
        </w:rPr>
        <w:t>Exposição de motivos</w:t>
      </w:r>
    </w:p>
    <w:p w14:paraId="083F2D17" w14:textId="56BD03EE" w:rsidR="007E0C1A" w:rsidRPr="001A0684" w:rsidRDefault="00B6347C" w:rsidP="0090212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 acordo com a Nota à Comunicação Social</w:t>
      </w:r>
      <w:r w:rsidR="00C80EBE">
        <w:rPr>
          <w:rFonts w:cstheme="minorHAnsi"/>
        </w:rPr>
        <w:t xml:space="preserve"> do Ministério do Ambiente e da Ação Climática, datada de </w:t>
      </w:r>
      <w:r w:rsidR="00C80EBE" w:rsidRPr="00C80EBE">
        <w:rPr>
          <w:rFonts w:cstheme="minorHAnsi"/>
        </w:rPr>
        <w:t>9 de fevereiro de 2020</w:t>
      </w:r>
      <w:r w:rsidR="00C80EBE">
        <w:rPr>
          <w:rFonts w:cstheme="minorHAnsi"/>
        </w:rPr>
        <w:t xml:space="preserve">, </w:t>
      </w:r>
      <w:r w:rsidR="005D682D">
        <w:rPr>
          <w:rFonts w:cstheme="minorHAnsi"/>
        </w:rPr>
        <w:t xml:space="preserve">fixando </w:t>
      </w:r>
      <w:r w:rsidR="0090212A" w:rsidRPr="0090212A">
        <w:rPr>
          <w:rFonts w:cstheme="minorHAnsi"/>
        </w:rPr>
        <w:t>os próximos passos</w:t>
      </w:r>
      <w:r w:rsidR="0090212A">
        <w:rPr>
          <w:rFonts w:cstheme="minorHAnsi"/>
        </w:rPr>
        <w:t xml:space="preserve"> </w:t>
      </w:r>
      <w:r w:rsidR="0090212A" w:rsidRPr="0090212A">
        <w:rPr>
          <w:rFonts w:cstheme="minorHAnsi"/>
        </w:rPr>
        <w:t>na ação nacional sobre aterros</w:t>
      </w:r>
      <w:r w:rsidR="0090212A">
        <w:rPr>
          <w:rFonts w:cstheme="minorHAnsi"/>
        </w:rPr>
        <w:t>,</w:t>
      </w:r>
      <w:r w:rsidR="0090212A" w:rsidRPr="0090212A">
        <w:rPr>
          <w:rFonts w:cstheme="minorHAnsi"/>
        </w:rPr>
        <w:t xml:space="preserve"> </w:t>
      </w:r>
      <w:r w:rsidR="00C80EBE">
        <w:rPr>
          <w:rFonts w:cstheme="minorHAnsi"/>
        </w:rPr>
        <w:t>a</w:t>
      </w:r>
      <w:r w:rsidR="007E0C1A" w:rsidRPr="001A0684">
        <w:rPr>
          <w:rFonts w:cstheme="minorHAnsi"/>
        </w:rPr>
        <w:t xml:space="preserve">s reclamações sobre aterros localizados em diferentes áreas do território nacional </w:t>
      </w:r>
      <w:r w:rsidR="00C80EBE">
        <w:rPr>
          <w:rFonts w:cstheme="minorHAnsi"/>
        </w:rPr>
        <w:t>aumentaram</w:t>
      </w:r>
      <w:r w:rsidR="007E0C1A" w:rsidRPr="001A0684">
        <w:rPr>
          <w:rFonts w:cstheme="minorHAnsi"/>
        </w:rPr>
        <w:t xml:space="preserve"> </w:t>
      </w:r>
      <w:r w:rsidR="0090212A">
        <w:rPr>
          <w:rFonts w:cstheme="minorHAnsi"/>
        </w:rPr>
        <w:t xml:space="preserve">significativamente </w:t>
      </w:r>
      <w:r w:rsidR="00C80EBE" w:rsidRPr="00C80EBE">
        <w:rPr>
          <w:rFonts w:cstheme="minorHAnsi"/>
        </w:rPr>
        <w:t>num curto espaço de tempo</w:t>
      </w:r>
      <w:r w:rsidR="001A0684">
        <w:rPr>
          <w:rFonts w:cstheme="minorHAnsi"/>
        </w:rPr>
        <w:t>.</w:t>
      </w:r>
      <w:r w:rsidR="007E0C1A" w:rsidRPr="001A0684">
        <w:rPr>
          <w:rFonts w:cstheme="minorHAnsi"/>
        </w:rPr>
        <w:t xml:space="preserve"> </w:t>
      </w:r>
      <w:r w:rsidR="00C80EBE">
        <w:rPr>
          <w:rFonts w:cstheme="minorHAnsi"/>
        </w:rPr>
        <w:t>Em causa est</w:t>
      </w:r>
      <w:r w:rsidR="00641656">
        <w:rPr>
          <w:rFonts w:cstheme="minorHAnsi"/>
        </w:rPr>
        <w:t>ão</w:t>
      </w:r>
      <w:r w:rsidR="00C80EBE">
        <w:rPr>
          <w:rFonts w:cstheme="minorHAnsi"/>
        </w:rPr>
        <w:t xml:space="preserve">, principalmente, os </w:t>
      </w:r>
      <w:r w:rsidR="007E0C1A" w:rsidRPr="001A0684">
        <w:rPr>
          <w:rFonts w:cstheme="minorHAnsi"/>
        </w:rPr>
        <w:t xml:space="preserve">maus cheiros libertados, </w:t>
      </w:r>
      <w:r w:rsidR="00C80EBE">
        <w:rPr>
          <w:rFonts w:cstheme="minorHAnsi"/>
        </w:rPr>
        <w:t xml:space="preserve">a </w:t>
      </w:r>
      <w:r w:rsidR="007E0C1A" w:rsidRPr="001A0684">
        <w:rPr>
          <w:rFonts w:cstheme="minorHAnsi"/>
        </w:rPr>
        <w:t>presença de aves</w:t>
      </w:r>
      <w:r w:rsidR="00C80EBE">
        <w:rPr>
          <w:rFonts w:cstheme="minorHAnsi"/>
        </w:rPr>
        <w:t xml:space="preserve"> e </w:t>
      </w:r>
      <w:r w:rsidR="007E0C1A" w:rsidRPr="001A0684">
        <w:rPr>
          <w:rFonts w:cstheme="minorHAnsi"/>
        </w:rPr>
        <w:t xml:space="preserve">insetos e </w:t>
      </w:r>
      <w:r w:rsidR="00C80EBE">
        <w:rPr>
          <w:rFonts w:cstheme="minorHAnsi"/>
        </w:rPr>
        <w:t xml:space="preserve">a </w:t>
      </w:r>
      <w:r w:rsidR="007E0C1A" w:rsidRPr="001A0684">
        <w:rPr>
          <w:rFonts w:cstheme="minorHAnsi"/>
        </w:rPr>
        <w:t xml:space="preserve">receção de resíduos de outros países. </w:t>
      </w:r>
    </w:p>
    <w:p w14:paraId="46D2C9D7" w14:textId="7ABE4470" w:rsidR="007E0C1A" w:rsidRPr="00525899" w:rsidRDefault="00641656" w:rsidP="001A0684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Esclarece o </w:t>
      </w:r>
      <w:r w:rsidR="00525899" w:rsidRPr="00525899">
        <w:rPr>
          <w:rFonts w:cstheme="minorHAnsi"/>
        </w:rPr>
        <w:t xml:space="preserve">Ministério do Ambiente e da Ação Climática </w:t>
      </w:r>
      <w:r>
        <w:rPr>
          <w:rFonts w:cstheme="minorHAnsi"/>
        </w:rPr>
        <w:t xml:space="preserve">que, pese embora «o </w:t>
      </w:r>
      <w:r w:rsidR="007E0C1A" w:rsidRPr="001A0684">
        <w:rPr>
          <w:rFonts w:cstheme="minorHAnsi"/>
        </w:rPr>
        <w:t>súbito alarme</w:t>
      </w:r>
      <w:r w:rsidR="0090212A">
        <w:rPr>
          <w:rFonts w:cstheme="minorHAnsi"/>
        </w:rPr>
        <w:t xml:space="preserve">» </w:t>
      </w:r>
      <w:r>
        <w:rPr>
          <w:rFonts w:cstheme="minorHAnsi"/>
        </w:rPr>
        <w:t>tenha direcionado</w:t>
      </w:r>
      <w:r w:rsidR="007E0C1A" w:rsidRPr="001A0684">
        <w:rPr>
          <w:rFonts w:cstheme="minorHAnsi"/>
        </w:rPr>
        <w:t xml:space="preserve">, num primeiro momento, o foco do problema </w:t>
      </w:r>
      <w:r>
        <w:rPr>
          <w:rFonts w:cstheme="minorHAnsi"/>
        </w:rPr>
        <w:t>para a</w:t>
      </w:r>
      <w:r w:rsidR="007E0C1A" w:rsidRPr="001A0684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E0C1A" w:rsidRPr="001A0684">
        <w:rPr>
          <w:rFonts w:cstheme="minorHAnsi"/>
        </w:rPr>
        <w:t xml:space="preserve">mportação de resíduos e </w:t>
      </w:r>
      <w:r>
        <w:rPr>
          <w:rFonts w:cstheme="minorHAnsi"/>
        </w:rPr>
        <w:t>para a</w:t>
      </w:r>
      <w:r w:rsidR="007E0C1A" w:rsidRPr="001A0684">
        <w:rPr>
          <w:rFonts w:cstheme="minorHAnsi"/>
        </w:rPr>
        <w:t xml:space="preserve"> baixa Taxa de Gestão de Resíduos (TGR)</w:t>
      </w:r>
      <w:r>
        <w:rPr>
          <w:rFonts w:cstheme="minorHAnsi"/>
        </w:rPr>
        <w:t xml:space="preserve">, </w:t>
      </w:r>
      <w:r w:rsidRPr="001A0684">
        <w:rPr>
          <w:rFonts w:cstheme="minorHAnsi"/>
          <w:bCs/>
        </w:rPr>
        <w:t xml:space="preserve">Portugal </w:t>
      </w:r>
      <w:r w:rsidR="0090212A">
        <w:rPr>
          <w:rFonts w:cstheme="minorHAnsi"/>
          <w:bCs/>
        </w:rPr>
        <w:t>ocupa</w:t>
      </w:r>
      <w:r w:rsidRPr="001A0684">
        <w:rPr>
          <w:rFonts w:cstheme="minorHAnsi"/>
          <w:bCs/>
        </w:rPr>
        <w:t xml:space="preserve"> as últimas posições como destino de resíduos para aterro</w:t>
      </w:r>
      <w:r w:rsidR="00525899">
        <w:rPr>
          <w:rFonts w:cstheme="minorHAnsi"/>
          <w:bCs/>
        </w:rPr>
        <w:t>, sendo</w:t>
      </w:r>
      <w:r w:rsidR="00525899" w:rsidRPr="001A0684">
        <w:rPr>
          <w:rFonts w:cstheme="minorHAnsi"/>
          <w:bCs/>
        </w:rPr>
        <w:t xml:space="preserve"> responsável por 1,61% dos resíduos importados para eliminação</w:t>
      </w:r>
      <w:r w:rsidR="00525899">
        <w:rPr>
          <w:rFonts w:cstheme="minorHAnsi"/>
          <w:bCs/>
        </w:rPr>
        <w:t>. S</w:t>
      </w:r>
      <w:r>
        <w:rPr>
          <w:rFonts w:cstheme="minorHAnsi"/>
          <w:bCs/>
        </w:rPr>
        <w:t>egundo o</w:t>
      </w:r>
      <w:r w:rsidR="00E673AF" w:rsidRPr="001A0684">
        <w:rPr>
          <w:rFonts w:cstheme="minorHAnsi"/>
          <w:bCs/>
        </w:rPr>
        <w:t xml:space="preserve"> Eurostat</w:t>
      </w:r>
      <w:r w:rsidR="00E673AF">
        <w:rPr>
          <w:rFonts w:cstheme="minorHAnsi"/>
          <w:bCs/>
        </w:rPr>
        <w:t>,</w:t>
      </w:r>
      <w:r w:rsidR="00E673AF" w:rsidRPr="001A0684">
        <w:rPr>
          <w:rFonts w:cstheme="minorHAnsi"/>
          <w:bCs/>
        </w:rPr>
        <w:t xml:space="preserve"> </w:t>
      </w:r>
      <w:r>
        <w:rPr>
          <w:rFonts w:cstheme="minorHAnsi"/>
          <w:bCs/>
        </w:rPr>
        <w:t>s</w:t>
      </w:r>
      <w:r w:rsidR="007E0C1A" w:rsidRPr="001A0684">
        <w:rPr>
          <w:rFonts w:cstheme="minorHAnsi"/>
          <w:bCs/>
        </w:rPr>
        <w:t>ão quatro os países que recebem 90% dos resíduos importados para eliminação</w:t>
      </w:r>
      <w:r w:rsidR="007E0C1A" w:rsidRPr="001A0684">
        <w:rPr>
          <w:rFonts w:cstheme="minorHAnsi"/>
        </w:rPr>
        <w:t xml:space="preserve"> (que inclui aterro, incineração e outras operações de eliminação): </w:t>
      </w:r>
      <w:r w:rsidR="007E0C1A" w:rsidRPr="001A0684">
        <w:rPr>
          <w:rFonts w:cstheme="minorHAnsi"/>
          <w:bCs/>
        </w:rPr>
        <w:t>Alemanha</w:t>
      </w:r>
      <w:r w:rsidR="00525899">
        <w:rPr>
          <w:rFonts w:cstheme="minorHAnsi"/>
          <w:bCs/>
        </w:rPr>
        <w:t xml:space="preserve"> (</w:t>
      </w:r>
      <w:r w:rsidR="007E0C1A" w:rsidRPr="001A0684">
        <w:rPr>
          <w:rFonts w:cstheme="minorHAnsi"/>
        </w:rPr>
        <w:t>62%</w:t>
      </w:r>
      <w:r w:rsidR="00525899">
        <w:rPr>
          <w:rFonts w:cstheme="minorHAnsi"/>
        </w:rPr>
        <w:t>),</w:t>
      </w:r>
      <w:r w:rsidR="007E0C1A" w:rsidRPr="001A0684">
        <w:rPr>
          <w:rFonts w:cstheme="minorHAnsi"/>
        </w:rPr>
        <w:t xml:space="preserve"> </w:t>
      </w:r>
      <w:r w:rsidR="007E0C1A" w:rsidRPr="001A0684">
        <w:rPr>
          <w:rFonts w:cstheme="minorHAnsi"/>
          <w:bCs/>
        </w:rPr>
        <w:t>França</w:t>
      </w:r>
      <w:r w:rsidR="00525899">
        <w:rPr>
          <w:rFonts w:cstheme="minorHAnsi"/>
          <w:bCs/>
        </w:rPr>
        <w:t xml:space="preserve"> (</w:t>
      </w:r>
      <w:r w:rsidR="007E0C1A" w:rsidRPr="001A0684">
        <w:rPr>
          <w:rFonts w:cstheme="minorHAnsi"/>
        </w:rPr>
        <w:t>14%</w:t>
      </w:r>
      <w:r w:rsidR="00525899">
        <w:rPr>
          <w:rFonts w:cstheme="minorHAnsi"/>
        </w:rPr>
        <w:t>),</w:t>
      </w:r>
      <w:r w:rsidR="007E0C1A" w:rsidRPr="001A0684">
        <w:rPr>
          <w:rFonts w:cstheme="minorHAnsi"/>
        </w:rPr>
        <w:t xml:space="preserve"> </w:t>
      </w:r>
      <w:r w:rsidR="007E0C1A" w:rsidRPr="001A0684">
        <w:rPr>
          <w:rFonts w:cstheme="minorHAnsi"/>
          <w:bCs/>
        </w:rPr>
        <w:t>Bélgica</w:t>
      </w:r>
      <w:r w:rsidR="00525899">
        <w:rPr>
          <w:rFonts w:cstheme="minorHAnsi"/>
          <w:bCs/>
        </w:rPr>
        <w:t xml:space="preserve"> (</w:t>
      </w:r>
      <w:r w:rsidR="007E0C1A" w:rsidRPr="001A0684">
        <w:rPr>
          <w:rFonts w:cstheme="minorHAnsi"/>
        </w:rPr>
        <w:t>9%</w:t>
      </w:r>
      <w:r w:rsidR="00525899">
        <w:rPr>
          <w:rFonts w:cstheme="minorHAnsi"/>
        </w:rPr>
        <w:t>)</w:t>
      </w:r>
      <w:r w:rsidR="001A0684">
        <w:rPr>
          <w:rFonts w:cstheme="minorHAnsi"/>
        </w:rPr>
        <w:t xml:space="preserve"> </w:t>
      </w:r>
      <w:r w:rsidR="007E0C1A" w:rsidRPr="001A0684">
        <w:rPr>
          <w:rFonts w:cstheme="minorHAnsi"/>
        </w:rPr>
        <w:t xml:space="preserve">e </w:t>
      </w:r>
      <w:r w:rsidR="007E0C1A" w:rsidRPr="001A0684">
        <w:rPr>
          <w:rFonts w:cstheme="minorHAnsi"/>
          <w:bCs/>
        </w:rPr>
        <w:t>Áustria</w:t>
      </w:r>
      <w:r w:rsidR="007E0C1A" w:rsidRPr="001A0684">
        <w:rPr>
          <w:rFonts w:cstheme="minorHAnsi"/>
        </w:rPr>
        <w:t xml:space="preserve"> </w:t>
      </w:r>
      <w:r w:rsidR="00525899">
        <w:rPr>
          <w:rFonts w:cstheme="minorHAnsi"/>
        </w:rPr>
        <w:t>(</w:t>
      </w:r>
      <w:r w:rsidR="007E0C1A" w:rsidRPr="001A0684">
        <w:rPr>
          <w:rFonts w:cstheme="minorHAnsi"/>
        </w:rPr>
        <w:t>5%</w:t>
      </w:r>
      <w:r w:rsidR="00525899">
        <w:rPr>
          <w:rFonts w:cstheme="minorHAnsi"/>
        </w:rPr>
        <w:t>)</w:t>
      </w:r>
      <w:r w:rsidR="007E0C1A" w:rsidRPr="001A0684">
        <w:rPr>
          <w:rFonts w:cstheme="minorHAnsi"/>
        </w:rPr>
        <w:t>.</w:t>
      </w:r>
      <w:r w:rsidR="00525899">
        <w:rPr>
          <w:rFonts w:cstheme="minorHAnsi"/>
          <w:bCs/>
        </w:rPr>
        <w:t xml:space="preserve"> </w:t>
      </w:r>
    </w:p>
    <w:p w14:paraId="5F937C03" w14:textId="553D7E78" w:rsidR="007E0C1A" w:rsidRDefault="004B40D7" w:rsidP="001A068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 âmbito d</w:t>
      </w:r>
      <w:r w:rsidRPr="001A0684">
        <w:rPr>
          <w:rFonts w:cstheme="minorHAnsi"/>
        </w:rPr>
        <w:t xml:space="preserve">o </w:t>
      </w:r>
      <w:r w:rsidRPr="001A0684">
        <w:rPr>
          <w:rFonts w:cstheme="minorHAnsi"/>
          <w:bCs/>
        </w:rPr>
        <w:t>Plano de Ação de Aterros 2020</w:t>
      </w:r>
      <w:r>
        <w:rPr>
          <w:rFonts w:cstheme="minorHAnsi"/>
          <w:bCs/>
        </w:rPr>
        <w:t xml:space="preserve">, que </w:t>
      </w:r>
      <w:r w:rsidRPr="001A0684">
        <w:rPr>
          <w:rFonts w:cstheme="minorHAnsi"/>
        </w:rPr>
        <w:t>prev</w:t>
      </w:r>
      <w:r>
        <w:rPr>
          <w:rFonts w:cstheme="minorHAnsi"/>
        </w:rPr>
        <w:t>ê</w:t>
      </w:r>
      <w:r w:rsidRPr="001A0684">
        <w:rPr>
          <w:rFonts w:cstheme="minorHAnsi"/>
        </w:rPr>
        <w:t xml:space="preserve"> ações de inspeção e fiscalização sobre os alvos prioritários, a capacitação das entidades</w:t>
      </w:r>
      <w:r>
        <w:rPr>
          <w:rFonts w:cstheme="minorHAnsi"/>
        </w:rPr>
        <w:t xml:space="preserve">, </w:t>
      </w:r>
      <w:r w:rsidRPr="001A0684">
        <w:rPr>
          <w:rFonts w:cstheme="minorHAnsi"/>
        </w:rPr>
        <w:t xml:space="preserve">o reforço de procedimentos e </w:t>
      </w:r>
      <w:r>
        <w:rPr>
          <w:rFonts w:cstheme="minorHAnsi"/>
        </w:rPr>
        <w:t xml:space="preserve">a </w:t>
      </w:r>
      <w:r w:rsidRPr="001A0684">
        <w:rPr>
          <w:rFonts w:cstheme="minorHAnsi"/>
        </w:rPr>
        <w:t>clarificação legislativa</w:t>
      </w:r>
      <w:r w:rsidR="00480C44">
        <w:rPr>
          <w:rFonts w:cstheme="minorHAnsi"/>
        </w:rPr>
        <w:t xml:space="preserve">, será também promovida </w:t>
      </w:r>
      <w:r w:rsidR="007E0C1A" w:rsidRPr="001A0684">
        <w:rPr>
          <w:rFonts w:cstheme="minorHAnsi"/>
          <w:bCs/>
        </w:rPr>
        <w:t>uma ação nacional concertada e articulada entre as várias entidades com competências de inspeção, fiscalização, licenciamento e monitorização, APA, I.P., IGAMAOT e as cinco Comissões de Coordenação e Desenvolvimento Regional</w:t>
      </w:r>
      <w:r w:rsidR="007E0C1A" w:rsidRPr="001A0684">
        <w:rPr>
          <w:rFonts w:cstheme="minorHAnsi"/>
        </w:rPr>
        <w:t xml:space="preserve"> (CCDR). </w:t>
      </w:r>
    </w:p>
    <w:p w14:paraId="5E5B1AC3" w14:textId="77777777" w:rsidR="006C3DB5" w:rsidRDefault="00480C44" w:rsidP="008B415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Assim, para fazer face às </w:t>
      </w:r>
      <w:r w:rsidR="00724F75">
        <w:rPr>
          <w:rFonts w:cstheme="minorHAnsi"/>
        </w:rPr>
        <w:t>preocupações</w:t>
      </w:r>
      <w:r>
        <w:rPr>
          <w:rFonts w:cstheme="minorHAnsi"/>
        </w:rPr>
        <w:t xml:space="preserve"> levantadas, </w:t>
      </w:r>
      <w:r w:rsidR="008B4153">
        <w:rPr>
          <w:rFonts w:cstheme="minorHAnsi"/>
        </w:rPr>
        <w:t>o Ministério do Ambiente e da Ação Climática determinou a s</w:t>
      </w:r>
      <w:r w:rsidR="007E0C1A" w:rsidRPr="008B4153">
        <w:rPr>
          <w:rFonts w:cstheme="minorHAnsi"/>
        </w:rPr>
        <w:t xml:space="preserve">uspensão, sempre que se justificar, da licença </w:t>
      </w:r>
      <w:r w:rsidR="004D238A">
        <w:rPr>
          <w:rFonts w:cstheme="minorHAnsi"/>
        </w:rPr>
        <w:t>para</w:t>
      </w:r>
      <w:r w:rsidR="007E0C1A" w:rsidRPr="008B4153">
        <w:rPr>
          <w:rFonts w:cstheme="minorHAnsi"/>
        </w:rPr>
        <w:t xml:space="preserve"> deposição de resíduos orgânicos;</w:t>
      </w:r>
      <w:r w:rsidR="008B4153">
        <w:rPr>
          <w:rFonts w:cstheme="minorHAnsi"/>
        </w:rPr>
        <w:t xml:space="preserve"> a r</w:t>
      </w:r>
      <w:r w:rsidR="007E0C1A" w:rsidRPr="008B4153">
        <w:rPr>
          <w:rFonts w:cstheme="minorHAnsi"/>
        </w:rPr>
        <w:t>evisão das licenças;</w:t>
      </w:r>
      <w:r w:rsidR="008B4153">
        <w:rPr>
          <w:rFonts w:cstheme="minorHAnsi"/>
        </w:rPr>
        <w:t xml:space="preserve"> o </w:t>
      </w:r>
      <w:r w:rsidR="006C3DB5">
        <w:rPr>
          <w:rFonts w:cstheme="minorHAnsi"/>
        </w:rPr>
        <w:t>i</w:t>
      </w:r>
      <w:r w:rsidR="00E673AF" w:rsidRPr="008B4153">
        <w:rPr>
          <w:rFonts w:cstheme="minorHAnsi"/>
        </w:rPr>
        <w:t>ncentivo</w:t>
      </w:r>
      <w:r w:rsidR="007E0C1A" w:rsidRPr="008B4153">
        <w:rPr>
          <w:rFonts w:cstheme="minorHAnsi"/>
        </w:rPr>
        <w:t xml:space="preserve"> </w:t>
      </w:r>
      <w:r w:rsidR="00E673AF" w:rsidRPr="008B4153">
        <w:rPr>
          <w:rFonts w:cstheme="minorHAnsi"/>
        </w:rPr>
        <w:t>a</w:t>
      </w:r>
      <w:r w:rsidR="007E0C1A" w:rsidRPr="008B4153">
        <w:rPr>
          <w:rFonts w:cstheme="minorHAnsi"/>
        </w:rPr>
        <w:t>o desenvolvimento de Comissões de Acompanhamento</w:t>
      </w:r>
      <w:r w:rsidR="008B4153">
        <w:rPr>
          <w:rFonts w:cstheme="minorHAnsi"/>
        </w:rPr>
        <w:t xml:space="preserve"> e a o</w:t>
      </w:r>
      <w:r w:rsidR="007E0C1A" w:rsidRPr="008B4153">
        <w:rPr>
          <w:rFonts w:cstheme="minorHAnsi"/>
        </w:rPr>
        <w:t>bjeção à entrada de resíduos cujo destino declarado é a valorização, mas que</w:t>
      </w:r>
      <w:r w:rsidR="008B4153">
        <w:rPr>
          <w:rFonts w:cstheme="minorHAnsi"/>
        </w:rPr>
        <w:t xml:space="preserve"> são</w:t>
      </w:r>
      <w:r w:rsidR="007E0C1A" w:rsidRPr="008B4153">
        <w:rPr>
          <w:rFonts w:cstheme="minorHAnsi"/>
        </w:rPr>
        <w:t xml:space="preserve"> encaminhados para eliminação</w:t>
      </w:r>
      <w:r w:rsidR="00E673AF" w:rsidRPr="008B4153">
        <w:rPr>
          <w:rFonts w:cstheme="minorHAnsi"/>
        </w:rPr>
        <w:t>.</w:t>
      </w:r>
      <w:r w:rsidR="008B4153">
        <w:rPr>
          <w:rFonts w:cstheme="minorHAnsi"/>
        </w:rPr>
        <w:t xml:space="preserve"> </w:t>
      </w:r>
    </w:p>
    <w:p w14:paraId="631B18EE" w14:textId="21985EEB" w:rsidR="006C3DB5" w:rsidRPr="00A3760C" w:rsidRDefault="008B4153" w:rsidP="009F3710">
      <w:pPr>
        <w:spacing w:line="360" w:lineRule="auto"/>
        <w:jc w:val="both"/>
        <w:rPr>
          <w:rFonts w:cstheme="minorHAnsi"/>
        </w:rPr>
      </w:pPr>
      <w:r w:rsidRPr="00A3760C">
        <w:rPr>
          <w:rFonts w:cstheme="minorHAnsi"/>
        </w:rPr>
        <w:t xml:space="preserve">A par destas medidas, «de caráter urgente», prevê ainda a </w:t>
      </w:r>
      <w:r w:rsidR="007E0C1A" w:rsidRPr="00A3760C">
        <w:rPr>
          <w:rFonts w:cstheme="minorHAnsi"/>
        </w:rPr>
        <w:t>revisão da legislação</w:t>
      </w:r>
      <w:r w:rsidRPr="00A3760C">
        <w:rPr>
          <w:rFonts w:cstheme="minorHAnsi"/>
        </w:rPr>
        <w:t xml:space="preserve"> em vigor</w:t>
      </w:r>
      <w:r w:rsidR="007E0C1A" w:rsidRPr="00A3760C">
        <w:rPr>
          <w:rFonts w:cstheme="minorHAnsi"/>
        </w:rPr>
        <w:t>;</w:t>
      </w:r>
      <w:r w:rsidRPr="00A3760C">
        <w:rPr>
          <w:rFonts w:cstheme="minorHAnsi"/>
        </w:rPr>
        <w:t xml:space="preserve"> a ponderação</w:t>
      </w:r>
      <w:r w:rsidR="007E0C1A" w:rsidRPr="00A3760C">
        <w:rPr>
          <w:rFonts w:cstheme="minorHAnsi"/>
        </w:rPr>
        <w:t xml:space="preserve"> da </w:t>
      </w:r>
      <w:r w:rsidRPr="00A3760C">
        <w:rPr>
          <w:rFonts w:cstheme="minorHAnsi"/>
        </w:rPr>
        <w:t xml:space="preserve">criação de </w:t>
      </w:r>
      <w:r w:rsidR="007E0C1A" w:rsidRPr="00A3760C">
        <w:rPr>
          <w:rFonts w:cstheme="minorHAnsi"/>
        </w:rPr>
        <w:t xml:space="preserve">um regulamento </w:t>
      </w:r>
      <w:r w:rsidRPr="00A3760C">
        <w:rPr>
          <w:rFonts w:cstheme="minorHAnsi"/>
        </w:rPr>
        <w:t>sobre</w:t>
      </w:r>
      <w:r w:rsidR="007E0C1A" w:rsidRPr="00A3760C">
        <w:rPr>
          <w:rFonts w:cstheme="minorHAnsi"/>
        </w:rPr>
        <w:t xml:space="preserve"> o odor;</w:t>
      </w:r>
      <w:r w:rsidRPr="00A3760C">
        <w:rPr>
          <w:rFonts w:cstheme="minorHAnsi"/>
        </w:rPr>
        <w:t xml:space="preserve"> a r</w:t>
      </w:r>
      <w:r w:rsidR="007E0C1A" w:rsidRPr="00A3760C">
        <w:rPr>
          <w:rFonts w:cstheme="minorHAnsi"/>
        </w:rPr>
        <w:t xml:space="preserve">evisão em alta dos valores da Taxa </w:t>
      </w:r>
      <w:r w:rsidR="007E0C1A" w:rsidRPr="00A3760C">
        <w:rPr>
          <w:rFonts w:cstheme="minorHAnsi"/>
        </w:rPr>
        <w:lastRenderedPageBreak/>
        <w:t xml:space="preserve">de Gestão de Resíduos, </w:t>
      </w:r>
      <w:r w:rsidRPr="00A3760C">
        <w:rPr>
          <w:rFonts w:cstheme="minorHAnsi"/>
        </w:rPr>
        <w:t xml:space="preserve">complementada com </w:t>
      </w:r>
      <w:r w:rsidR="007E0C1A" w:rsidRPr="00A3760C">
        <w:rPr>
          <w:rFonts w:cstheme="minorHAnsi"/>
        </w:rPr>
        <w:t>a revisão das taxas de apreciação dos procedimentos de notificação de transferência de resíduos, para importação ou exportação</w:t>
      </w:r>
      <w:r w:rsidRPr="00A3760C">
        <w:rPr>
          <w:rFonts w:cstheme="minorHAnsi"/>
        </w:rPr>
        <w:t>.</w:t>
      </w:r>
    </w:p>
    <w:p w14:paraId="79ECA501" w14:textId="3CCFEFD9" w:rsidR="00905F40" w:rsidRPr="00A3760C" w:rsidRDefault="009F3710" w:rsidP="00FF0898">
      <w:pPr>
        <w:spacing w:line="360" w:lineRule="auto"/>
        <w:jc w:val="both"/>
        <w:rPr>
          <w:rFonts w:cstheme="minorHAnsi"/>
        </w:rPr>
      </w:pPr>
      <w:r w:rsidRPr="00A3760C">
        <w:rPr>
          <w:rFonts w:cstheme="minorHAnsi"/>
        </w:rPr>
        <w:t>Está</w:t>
      </w:r>
      <w:r w:rsidR="007E0C1A" w:rsidRPr="00A3760C">
        <w:rPr>
          <w:rFonts w:cstheme="minorHAnsi"/>
        </w:rPr>
        <w:t xml:space="preserve"> </w:t>
      </w:r>
      <w:r w:rsidR="006C3DB5" w:rsidRPr="00A3760C">
        <w:rPr>
          <w:rFonts w:cstheme="minorHAnsi"/>
        </w:rPr>
        <w:t xml:space="preserve">ainda </w:t>
      </w:r>
      <w:r w:rsidR="007E0C1A" w:rsidRPr="00A3760C">
        <w:rPr>
          <w:rFonts w:cstheme="minorHAnsi"/>
        </w:rPr>
        <w:t xml:space="preserve">em curso a </w:t>
      </w:r>
      <w:r w:rsidR="007E0C1A" w:rsidRPr="00A3760C">
        <w:rPr>
          <w:rFonts w:cstheme="minorHAnsi"/>
          <w:bCs/>
        </w:rPr>
        <w:t xml:space="preserve">elaboração do Plano Nacional de Gestão de Resíduos e </w:t>
      </w:r>
      <w:r w:rsidRPr="00A3760C">
        <w:rPr>
          <w:rFonts w:cstheme="minorHAnsi"/>
          <w:bCs/>
        </w:rPr>
        <w:t xml:space="preserve">o </w:t>
      </w:r>
      <w:r w:rsidR="007E0C1A" w:rsidRPr="00A3760C">
        <w:rPr>
          <w:rFonts w:cstheme="minorHAnsi"/>
          <w:bCs/>
        </w:rPr>
        <w:t xml:space="preserve">Plano Estratégico de Resíduos Urbanos para 2030, o planeamento da nova fase do Plano de Ação para a Economia Circular e as orientações para a gestão de </w:t>
      </w:r>
      <w:r w:rsidRPr="00A3760C">
        <w:rPr>
          <w:rFonts w:cstheme="minorHAnsi"/>
          <w:bCs/>
        </w:rPr>
        <w:t>bio resíduos</w:t>
      </w:r>
      <w:r w:rsidR="007E0C1A" w:rsidRPr="00A3760C">
        <w:rPr>
          <w:rFonts w:cstheme="minorHAnsi"/>
          <w:bCs/>
        </w:rPr>
        <w:t xml:space="preserve"> provenientes dos resíduos urbanos</w:t>
      </w:r>
      <w:r w:rsidR="00D06C75" w:rsidRPr="00A3760C">
        <w:rPr>
          <w:rFonts w:cstheme="minorHAnsi"/>
        </w:rPr>
        <w:t>.</w:t>
      </w:r>
    </w:p>
    <w:p w14:paraId="6E48A620" w14:textId="2BF478CC" w:rsidR="00905F40" w:rsidRPr="00A3760C" w:rsidRDefault="003135DF" w:rsidP="00FF0898">
      <w:pPr>
        <w:spacing w:line="360" w:lineRule="auto"/>
        <w:jc w:val="both"/>
        <w:rPr>
          <w:rFonts w:cstheme="minorHAnsi"/>
        </w:rPr>
      </w:pPr>
      <w:r w:rsidRPr="00A3760C">
        <w:rPr>
          <w:rFonts w:cstheme="minorHAnsi"/>
        </w:rPr>
        <w:t>Neste sentido, considerando todas as ações que estão a ser desenvolvidas com vista a</w:t>
      </w:r>
      <w:r w:rsidR="00905F40" w:rsidRPr="00A3760C">
        <w:rPr>
          <w:rFonts w:cstheme="minorHAnsi"/>
        </w:rPr>
        <w:t xml:space="preserve"> otimizar o funcionamento do setor, </w:t>
      </w:r>
      <w:r w:rsidRPr="00A3760C">
        <w:rPr>
          <w:rFonts w:cstheme="minorHAnsi"/>
        </w:rPr>
        <w:t xml:space="preserve">importa desenvolver instrumentos que promovam a definição de parâmetros e a monitorização dos níveis de qualidade de serviço dos aterros em Portugal, garantindo </w:t>
      </w:r>
      <w:r w:rsidR="00E54319" w:rsidRPr="00A3760C">
        <w:rPr>
          <w:rFonts w:cstheme="minorHAnsi"/>
        </w:rPr>
        <w:t>o cumprimento da legislação em vigor</w:t>
      </w:r>
      <w:r w:rsidRPr="00A3760C">
        <w:rPr>
          <w:rFonts w:cstheme="minorHAnsi"/>
        </w:rPr>
        <w:t>.</w:t>
      </w:r>
      <w:r w:rsidR="00D22AE2" w:rsidRPr="00A3760C">
        <w:t xml:space="preserve"> </w:t>
      </w:r>
      <w:r w:rsidR="00D22AE2" w:rsidRPr="00A3760C">
        <w:rPr>
          <w:rFonts w:cstheme="minorHAnsi"/>
        </w:rPr>
        <w:t xml:space="preserve">Releva, em concreto, precisar indicadores no que </w:t>
      </w:r>
      <w:r w:rsidR="00A3760C" w:rsidRPr="00A3760C">
        <w:rPr>
          <w:rFonts w:cstheme="minorHAnsi"/>
        </w:rPr>
        <w:t xml:space="preserve">diz </w:t>
      </w:r>
      <w:r w:rsidR="00D22AE2" w:rsidRPr="00A3760C">
        <w:rPr>
          <w:rFonts w:cstheme="minorHAnsi"/>
        </w:rPr>
        <w:t>respeit</w:t>
      </w:r>
      <w:r w:rsidR="00A3760C" w:rsidRPr="00A3760C">
        <w:rPr>
          <w:rFonts w:cstheme="minorHAnsi"/>
        </w:rPr>
        <w:t>o</w:t>
      </w:r>
      <w:r w:rsidR="00D22AE2" w:rsidRPr="00A3760C">
        <w:rPr>
          <w:rFonts w:cstheme="minorHAnsi"/>
        </w:rPr>
        <w:t xml:space="preserve"> às dimensões da sustentabilidade ambiental, económica e social, e</w:t>
      </w:r>
      <w:r w:rsidR="00A3760C" w:rsidRPr="00A3760C">
        <w:rPr>
          <w:rFonts w:cstheme="minorHAnsi"/>
        </w:rPr>
        <w:t xml:space="preserve"> também</w:t>
      </w:r>
      <w:r w:rsidR="00D22AE2" w:rsidRPr="00A3760C">
        <w:rPr>
          <w:rFonts w:cstheme="minorHAnsi"/>
        </w:rPr>
        <w:t xml:space="preserve"> do nível de cumprimento das licenças por parte dos operadores</w:t>
      </w:r>
      <w:r w:rsidR="00A3760C" w:rsidRPr="00A3760C">
        <w:rPr>
          <w:rFonts w:cstheme="minorHAnsi"/>
        </w:rPr>
        <w:t>.</w:t>
      </w:r>
    </w:p>
    <w:p w14:paraId="319D5E46" w14:textId="48578751" w:rsidR="001A0684" w:rsidRPr="00A3760C" w:rsidRDefault="001A0684" w:rsidP="001A0684">
      <w:pPr>
        <w:pStyle w:val="NormalWeb"/>
        <w:spacing w:after="15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60C">
        <w:rPr>
          <w:rFonts w:asciiTheme="minorHAnsi" w:hAnsiTheme="minorHAnsi" w:cstheme="minorHAnsi"/>
          <w:sz w:val="22"/>
          <w:szCs w:val="22"/>
        </w:rPr>
        <w:t xml:space="preserve">Assim, nos termos constitucionais </w:t>
      </w:r>
      <w:r w:rsidR="00BD3B0F">
        <w:rPr>
          <w:rFonts w:asciiTheme="minorHAnsi" w:hAnsiTheme="minorHAnsi" w:cstheme="minorHAnsi"/>
          <w:sz w:val="22"/>
          <w:szCs w:val="22"/>
        </w:rPr>
        <w:t xml:space="preserve">e </w:t>
      </w:r>
      <w:r w:rsidR="00BD3B0F" w:rsidRPr="00A3760C">
        <w:rPr>
          <w:rFonts w:asciiTheme="minorHAnsi" w:hAnsiTheme="minorHAnsi" w:cstheme="minorHAnsi"/>
          <w:sz w:val="22"/>
          <w:szCs w:val="22"/>
        </w:rPr>
        <w:t xml:space="preserve">regimentais </w:t>
      </w:r>
      <w:r w:rsidRPr="00A3760C">
        <w:rPr>
          <w:rFonts w:asciiTheme="minorHAnsi" w:hAnsiTheme="minorHAnsi" w:cstheme="minorHAnsi"/>
          <w:sz w:val="22"/>
          <w:szCs w:val="22"/>
        </w:rPr>
        <w:t>aplicáveis, os Deputados do Grupo Parlamentar do Partido Socialista abaixo-assinados apresentam o seguinte projeto de resolução:</w:t>
      </w:r>
    </w:p>
    <w:p w14:paraId="7D365EFF" w14:textId="77777777" w:rsidR="001A0684" w:rsidRPr="00A3760C" w:rsidRDefault="001A0684" w:rsidP="001A0684">
      <w:pPr>
        <w:pStyle w:val="NormalWeb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60C">
        <w:rPr>
          <w:rFonts w:asciiTheme="minorHAnsi" w:hAnsiTheme="minorHAnsi" w:cstheme="minorHAnsi"/>
          <w:sz w:val="22"/>
          <w:szCs w:val="22"/>
        </w:rPr>
        <w:t>A Assembleia da República resolve, nos termos da alínea b) do artigo 156.º da Constituição da República Portuguesa, recomendar ao Governo que:</w:t>
      </w:r>
    </w:p>
    <w:p w14:paraId="084A3513" w14:textId="77777777" w:rsidR="00BD3B0F" w:rsidRPr="00BD3B0F" w:rsidRDefault="00BD3B0F" w:rsidP="00BD3B0F">
      <w:pPr>
        <w:pStyle w:val="PargrafodaLista"/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458B1F63" w14:textId="58D897F3" w:rsidR="001349A6" w:rsidRPr="00A3760C" w:rsidRDefault="00740100" w:rsidP="00AD14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A3760C">
        <w:rPr>
          <w:rFonts w:cstheme="minorHAnsi"/>
          <w:bCs/>
        </w:rPr>
        <w:t>Promova a elaboração</w:t>
      </w:r>
      <w:r w:rsidR="009F3710" w:rsidRPr="00A3760C">
        <w:rPr>
          <w:rFonts w:cstheme="minorHAnsi"/>
          <w:bCs/>
        </w:rPr>
        <w:t xml:space="preserve"> </w:t>
      </w:r>
      <w:r w:rsidRPr="00A3760C">
        <w:rPr>
          <w:rFonts w:cstheme="minorHAnsi"/>
          <w:bCs/>
        </w:rPr>
        <w:t>pela Autoridade Nacional de Resíduos de um</w:t>
      </w:r>
      <w:r w:rsidR="006C3DB5" w:rsidRPr="00A3760C">
        <w:rPr>
          <w:rFonts w:cstheme="minorHAnsi"/>
          <w:bCs/>
        </w:rPr>
        <w:t xml:space="preserve"> </w:t>
      </w:r>
      <w:r w:rsidR="009F3710" w:rsidRPr="00A3760C">
        <w:rPr>
          <w:rFonts w:cstheme="minorHAnsi"/>
          <w:bCs/>
        </w:rPr>
        <w:t xml:space="preserve">relatório </w:t>
      </w:r>
      <w:r w:rsidR="00AD1464" w:rsidRPr="00A3760C">
        <w:rPr>
          <w:rFonts w:cstheme="minorHAnsi"/>
          <w:shd w:val="clear" w:color="auto" w:fill="FFFFFF"/>
        </w:rPr>
        <w:t>anual</w:t>
      </w:r>
      <w:r w:rsidR="00070D21" w:rsidRPr="00A3760C">
        <w:rPr>
          <w:rFonts w:cstheme="minorHAnsi"/>
          <w:shd w:val="clear" w:color="auto" w:fill="FFFFFF"/>
        </w:rPr>
        <w:t xml:space="preserve"> sobre</w:t>
      </w:r>
      <w:r w:rsidR="009F3710" w:rsidRPr="00A3760C">
        <w:rPr>
          <w:rFonts w:cstheme="minorHAnsi"/>
          <w:shd w:val="clear" w:color="auto" w:fill="FFFFFF"/>
        </w:rPr>
        <w:t xml:space="preserve"> </w:t>
      </w:r>
      <w:r w:rsidR="00070D21" w:rsidRPr="00A3760C">
        <w:rPr>
          <w:rFonts w:cstheme="minorHAnsi"/>
          <w:shd w:val="clear" w:color="auto" w:fill="FFFFFF"/>
        </w:rPr>
        <w:t>a execução do Decreto-Lei nº 183/2009, de 10 de agosto,</w:t>
      </w:r>
      <w:r w:rsidR="00AD1464" w:rsidRPr="00A3760C">
        <w:t xml:space="preserve"> que estabelece o </w:t>
      </w:r>
      <w:r w:rsidR="00AD1464" w:rsidRPr="00A3760C">
        <w:rPr>
          <w:rFonts w:cstheme="minorHAnsi"/>
          <w:shd w:val="clear" w:color="auto" w:fill="FFFFFF"/>
        </w:rPr>
        <w:t>regime jurídico da deposição de resíduos em aterro, e os requisitos gerais a observar na conceção, construção, exploração, encerramento e pós-encerramento de aterros, incluindo as características técnicas específicas para cada classe de aterros</w:t>
      </w:r>
      <w:r w:rsidRPr="00A3760C">
        <w:rPr>
          <w:rFonts w:cstheme="minorHAnsi"/>
          <w:shd w:val="clear" w:color="auto" w:fill="FFFFFF"/>
        </w:rPr>
        <w:t xml:space="preserve"> e o torne público</w:t>
      </w:r>
      <w:r w:rsidR="009F3710" w:rsidRPr="00A3760C">
        <w:rPr>
          <w:rFonts w:cstheme="minorHAnsi"/>
          <w:shd w:val="clear" w:color="auto" w:fill="FFFFFF"/>
        </w:rPr>
        <w:t>;</w:t>
      </w:r>
    </w:p>
    <w:p w14:paraId="14F95365" w14:textId="77777777" w:rsidR="00BD3B0F" w:rsidRPr="00BD3B0F" w:rsidRDefault="00BD3B0F" w:rsidP="00BD3B0F">
      <w:pPr>
        <w:pStyle w:val="PargrafodaLista"/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0F2BE6DA" w14:textId="21E2CDAE" w:rsidR="00E54319" w:rsidRPr="003D1DE9" w:rsidRDefault="00E54319" w:rsidP="003D1DE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A3760C">
        <w:rPr>
          <w:rFonts w:cstheme="minorHAnsi"/>
          <w:bCs/>
        </w:rPr>
        <w:t>Defina e</w:t>
      </w:r>
      <w:r w:rsidR="007821A8" w:rsidRPr="00A3760C">
        <w:rPr>
          <w:rFonts w:cstheme="minorHAnsi"/>
          <w:bCs/>
        </w:rPr>
        <w:t xml:space="preserve"> assegure a</w:t>
      </w:r>
      <w:r w:rsidRPr="00A3760C">
        <w:rPr>
          <w:rFonts w:cstheme="minorHAnsi"/>
          <w:bCs/>
        </w:rPr>
        <w:t xml:space="preserve"> monitoriz</w:t>
      </w:r>
      <w:r w:rsidR="007821A8" w:rsidRPr="00A3760C">
        <w:rPr>
          <w:rFonts w:cstheme="minorHAnsi"/>
          <w:bCs/>
        </w:rPr>
        <w:t>ação</w:t>
      </w:r>
      <w:r w:rsidRPr="00A3760C">
        <w:rPr>
          <w:rFonts w:cstheme="minorHAnsi"/>
          <w:bCs/>
        </w:rPr>
        <w:t xml:space="preserve"> </w:t>
      </w:r>
      <w:r w:rsidR="007821A8" w:rsidRPr="00A3760C">
        <w:rPr>
          <w:rFonts w:cstheme="minorHAnsi"/>
          <w:bCs/>
        </w:rPr>
        <w:t>d</w:t>
      </w:r>
      <w:r w:rsidRPr="00A3760C">
        <w:rPr>
          <w:rFonts w:cstheme="minorHAnsi"/>
          <w:bCs/>
        </w:rPr>
        <w:t>os níveis de qualidade de serviço dos aterros em Portugal</w:t>
      </w:r>
      <w:r w:rsidR="003D1DE9">
        <w:rPr>
          <w:rFonts w:cstheme="minorHAnsi"/>
          <w:shd w:val="clear" w:color="auto" w:fill="FFFFFF"/>
        </w:rPr>
        <w:t xml:space="preserve"> e p</w:t>
      </w:r>
      <w:r w:rsidR="00313322" w:rsidRPr="003D1DE9">
        <w:rPr>
          <w:rFonts w:cstheme="minorHAnsi"/>
          <w:shd w:val="clear" w:color="auto" w:fill="FFFFFF"/>
        </w:rPr>
        <w:t>romova o reforço da fiscalização</w:t>
      </w:r>
      <w:r w:rsidR="003D1DE9" w:rsidRPr="003D1DE9">
        <w:rPr>
          <w:rFonts w:cstheme="minorHAnsi"/>
          <w:shd w:val="clear" w:color="auto" w:fill="FFFFFF"/>
        </w:rPr>
        <w:t xml:space="preserve">, designadamente pela </w:t>
      </w:r>
      <w:r w:rsidR="003034AF">
        <w:rPr>
          <w:rFonts w:cstheme="minorHAnsi"/>
          <w:shd w:val="clear" w:color="auto" w:fill="FFFFFF"/>
        </w:rPr>
        <w:t>definição</w:t>
      </w:r>
      <w:r w:rsidR="003D1DE9">
        <w:rPr>
          <w:rFonts w:cstheme="minorHAnsi"/>
          <w:shd w:val="clear" w:color="auto" w:fill="FFFFFF"/>
        </w:rPr>
        <w:t xml:space="preserve"> de</w:t>
      </w:r>
      <w:r w:rsidR="003D1DE9" w:rsidRPr="003D1DE9">
        <w:rPr>
          <w:rFonts w:cstheme="minorHAnsi"/>
          <w:shd w:val="clear" w:color="auto" w:fill="FFFFFF"/>
        </w:rPr>
        <w:t xml:space="preserve"> um programa de inspeções frequentes</w:t>
      </w:r>
      <w:r w:rsidR="00313322" w:rsidRPr="003D1DE9">
        <w:rPr>
          <w:rFonts w:cstheme="minorHAnsi"/>
          <w:shd w:val="clear" w:color="auto" w:fill="FFFFFF"/>
        </w:rPr>
        <w:t>;</w:t>
      </w:r>
    </w:p>
    <w:p w14:paraId="1033474F" w14:textId="77777777" w:rsidR="00BD3B0F" w:rsidRDefault="00BD3B0F" w:rsidP="00BD3B0F">
      <w:pPr>
        <w:pStyle w:val="PargrafodaLista"/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04827201" w14:textId="3C011299" w:rsidR="00F32C5C" w:rsidRPr="00A3760C" w:rsidRDefault="00E54319" w:rsidP="00F32C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A3760C">
        <w:rPr>
          <w:rFonts w:cstheme="minorHAnsi"/>
          <w:shd w:val="clear" w:color="auto" w:fill="FFFFFF"/>
        </w:rPr>
        <w:t xml:space="preserve">Apresente o cronograma do </w:t>
      </w:r>
      <w:r w:rsidRPr="00A3760C">
        <w:rPr>
          <w:rFonts w:cstheme="minorHAnsi"/>
          <w:bCs/>
        </w:rPr>
        <w:t>Plano de Ação de Aterros 2020</w:t>
      </w:r>
      <w:r w:rsidR="00C406E4" w:rsidRPr="00A3760C">
        <w:rPr>
          <w:rFonts w:cstheme="minorHAnsi"/>
          <w:bCs/>
        </w:rPr>
        <w:t>;</w:t>
      </w:r>
    </w:p>
    <w:p w14:paraId="25AE5F6F" w14:textId="77777777" w:rsidR="00BD3B0F" w:rsidRDefault="00BD3B0F" w:rsidP="00BD3B0F">
      <w:pPr>
        <w:pStyle w:val="PargrafodaLista"/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4161BE1D" w14:textId="1A435F5E" w:rsidR="00E21809" w:rsidRPr="00313322" w:rsidRDefault="00AD2AD9" w:rsidP="0031332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A3760C">
        <w:rPr>
          <w:rFonts w:cstheme="minorHAnsi"/>
          <w:shd w:val="clear" w:color="auto" w:fill="FFFFFF"/>
        </w:rPr>
        <w:lastRenderedPageBreak/>
        <w:t>Institua, no imediato, Comiss</w:t>
      </w:r>
      <w:r w:rsidR="00A71E16" w:rsidRPr="00A3760C">
        <w:rPr>
          <w:rFonts w:cstheme="minorHAnsi"/>
          <w:shd w:val="clear" w:color="auto" w:fill="FFFFFF"/>
        </w:rPr>
        <w:t>ão</w:t>
      </w:r>
      <w:r w:rsidRPr="00A3760C">
        <w:rPr>
          <w:rFonts w:cstheme="minorHAnsi"/>
          <w:shd w:val="clear" w:color="auto" w:fill="FFFFFF"/>
        </w:rPr>
        <w:t xml:space="preserve"> de Acompanhamento</w:t>
      </w:r>
      <w:r w:rsidR="00A71E16" w:rsidRPr="00A3760C">
        <w:rPr>
          <w:rFonts w:cstheme="minorHAnsi"/>
          <w:shd w:val="clear" w:color="auto" w:fill="FFFFFF"/>
        </w:rPr>
        <w:t xml:space="preserve"> para avaliar, propor medidas e acompanhar as condições de funcionamento dos aterros</w:t>
      </w:r>
      <w:r w:rsidR="00623B74" w:rsidRPr="00A3760C">
        <w:rPr>
          <w:rFonts w:cstheme="minorHAnsi"/>
          <w:shd w:val="clear" w:color="auto" w:fill="FFFFFF"/>
        </w:rPr>
        <w:t xml:space="preserve"> que no momento apresentem situações identificadas como problemáticas</w:t>
      </w:r>
      <w:r w:rsidR="004A2FEF" w:rsidRPr="00A3760C">
        <w:rPr>
          <w:rFonts w:cstheme="minorHAnsi"/>
          <w:shd w:val="clear" w:color="auto" w:fill="FFFFFF"/>
        </w:rPr>
        <w:t xml:space="preserve">, </w:t>
      </w:r>
      <w:r w:rsidR="000D0DDA" w:rsidRPr="00A3760C">
        <w:rPr>
          <w:rFonts w:cstheme="minorHAnsi"/>
          <w:shd w:val="clear" w:color="auto" w:fill="FFFFFF"/>
        </w:rPr>
        <w:t>compostas</w:t>
      </w:r>
      <w:r w:rsidR="004A2FEF" w:rsidRPr="00A3760C">
        <w:rPr>
          <w:rFonts w:cstheme="minorHAnsi"/>
          <w:shd w:val="clear" w:color="auto" w:fill="FFFFFF"/>
        </w:rPr>
        <w:t xml:space="preserve"> pelas Comissões de Coordenação e Desenvolvimento Regional (</w:t>
      </w:r>
      <w:r w:rsidRPr="00A3760C">
        <w:rPr>
          <w:rFonts w:cstheme="minorHAnsi"/>
          <w:shd w:val="clear" w:color="auto" w:fill="FFFFFF"/>
        </w:rPr>
        <w:t>CCDR</w:t>
      </w:r>
      <w:r w:rsidR="004A2FEF" w:rsidRPr="00A3760C">
        <w:rPr>
          <w:rFonts w:cstheme="minorHAnsi"/>
          <w:shd w:val="clear" w:color="auto" w:fill="FFFFFF"/>
        </w:rPr>
        <w:t>)</w:t>
      </w:r>
      <w:r w:rsidRPr="00A3760C">
        <w:rPr>
          <w:rFonts w:cstheme="minorHAnsi"/>
          <w:shd w:val="clear" w:color="auto" w:fill="FFFFFF"/>
        </w:rPr>
        <w:t xml:space="preserve"> </w:t>
      </w:r>
      <w:r w:rsidR="004A2FEF" w:rsidRPr="00A3760C">
        <w:rPr>
          <w:rFonts w:cstheme="minorHAnsi"/>
          <w:shd w:val="clear" w:color="auto" w:fill="FFFFFF"/>
        </w:rPr>
        <w:t>e representantes das entidades envolvidas, designadamente, Agência Portuguesa do Ambiente (APA),</w:t>
      </w:r>
      <w:r w:rsidRPr="00A3760C">
        <w:rPr>
          <w:rFonts w:cstheme="minorHAnsi"/>
          <w:shd w:val="clear" w:color="auto" w:fill="FFFFFF"/>
        </w:rPr>
        <w:t xml:space="preserve"> </w:t>
      </w:r>
      <w:r w:rsidR="000D0DDA" w:rsidRPr="00A3760C">
        <w:rPr>
          <w:rFonts w:cstheme="minorHAnsi"/>
          <w:shd w:val="clear" w:color="auto" w:fill="FFFFFF"/>
        </w:rPr>
        <w:t>Administração da Região Hidrográfica (</w:t>
      </w:r>
      <w:r w:rsidRPr="00A3760C">
        <w:rPr>
          <w:rFonts w:cstheme="minorHAnsi"/>
          <w:shd w:val="clear" w:color="auto" w:fill="FFFFFF"/>
        </w:rPr>
        <w:t>ARH</w:t>
      </w:r>
      <w:r w:rsidR="000D0DDA" w:rsidRPr="00A3760C">
        <w:rPr>
          <w:rFonts w:cstheme="minorHAnsi"/>
          <w:shd w:val="clear" w:color="auto" w:fill="FFFFFF"/>
        </w:rPr>
        <w:t>)</w:t>
      </w:r>
      <w:r w:rsidRPr="00A3760C">
        <w:rPr>
          <w:rFonts w:cstheme="minorHAnsi"/>
          <w:shd w:val="clear" w:color="auto" w:fill="FFFFFF"/>
        </w:rPr>
        <w:t>, Administração Regional de Saúde</w:t>
      </w:r>
      <w:r w:rsidR="000D0DDA" w:rsidRPr="00A3760C">
        <w:rPr>
          <w:rFonts w:cstheme="minorHAnsi"/>
          <w:shd w:val="clear" w:color="auto" w:fill="FFFFFF"/>
        </w:rPr>
        <w:t xml:space="preserve"> (ARS)</w:t>
      </w:r>
      <w:r w:rsidRPr="00A3760C">
        <w:rPr>
          <w:rFonts w:cstheme="minorHAnsi"/>
          <w:shd w:val="clear" w:color="auto" w:fill="FFFFFF"/>
        </w:rPr>
        <w:t>,</w:t>
      </w:r>
      <w:r w:rsidR="000D0DDA" w:rsidRPr="00A3760C">
        <w:rPr>
          <w:rFonts w:cstheme="minorHAnsi"/>
          <w:shd w:val="clear" w:color="auto" w:fill="FFFFFF"/>
        </w:rPr>
        <w:t xml:space="preserve"> </w:t>
      </w:r>
      <w:r w:rsidRPr="00A3760C">
        <w:rPr>
          <w:rFonts w:cstheme="minorHAnsi"/>
          <w:shd w:val="clear" w:color="auto" w:fill="FFFFFF"/>
        </w:rPr>
        <w:t>Câmara</w:t>
      </w:r>
      <w:r w:rsidR="00AC2000" w:rsidRPr="00A3760C">
        <w:rPr>
          <w:rFonts w:cstheme="minorHAnsi"/>
          <w:shd w:val="clear" w:color="auto" w:fill="FFFFFF"/>
        </w:rPr>
        <w:t>s</w:t>
      </w:r>
      <w:r w:rsidRPr="00A3760C">
        <w:rPr>
          <w:rFonts w:cstheme="minorHAnsi"/>
          <w:shd w:val="clear" w:color="auto" w:fill="FFFFFF"/>
        </w:rPr>
        <w:t xml:space="preserve"> Municipa</w:t>
      </w:r>
      <w:r w:rsidR="00AC2000" w:rsidRPr="00A3760C">
        <w:rPr>
          <w:rFonts w:cstheme="minorHAnsi"/>
          <w:shd w:val="clear" w:color="auto" w:fill="FFFFFF"/>
        </w:rPr>
        <w:t>is</w:t>
      </w:r>
      <w:r w:rsidR="004A2FEF" w:rsidRPr="00A3760C">
        <w:rPr>
          <w:rFonts w:cstheme="minorHAnsi"/>
          <w:shd w:val="clear" w:color="auto" w:fill="FFFFFF"/>
        </w:rPr>
        <w:t xml:space="preserve"> </w:t>
      </w:r>
      <w:r w:rsidRPr="00A3760C">
        <w:rPr>
          <w:rFonts w:cstheme="minorHAnsi"/>
          <w:shd w:val="clear" w:color="auto" w:fill="FFFFFF"/>
        </w:rPr>
        <w:t>e</w:t>
      </w:r>
      <w:r w:rsidR="00AC2000" w:rsidRPr="00A3760C">
        <w:rPr>
          <w:rFonts w:cstheme="minorHAnsi"/>
          <w:shd w:val="clear" w:color="auto" w:fill="FFFFFF"/>
        </w:rPr>
        <w:t xml:space="preserve"> </w:t>
      </w:r>
      <w:r w:rsidRPr="00A3760C">
        <w:rPr>
          <w:rFonts w:cstheme="minorHAnsi"/>
          <w:shd w:val="clear" w:color="auto" w:fill="FFFFFF"/>
        </w:rPr>
        <w:t>comissões de moradores ou associações constituídas com este fim</w:t>
      </w:r>
      <w:r w:rsidR="00E21809" w:rsidRPr="00313322">
        <w:rPr>
          <w:rFonts w:cstheme="minorHAnsi"/>
          <w:shd w:val="clear" w:color="auto" w:fill="FFFFFF"/>
        </w:rPr>
        <w:t>.</w:t>
      </w:r>
    </w:p>
    <w:p w14:paraId="44AFD57A" w14:textId="77777777" w:rsidR="001A0684" w:rsidRPr="00A3760C" w:rsidRDefault="001A0684" w:rsidP="00D06C75">
      <w:pPr>
        <w:spacing w:after="0" w:line="360" w:lineRule="auto"/>
        <w:jc w:val="both"/>
        <w:rPr>
          <w:rFonts w:cstheme="minorHAnsi"/>
          <w:bCs/>
        </w:rPr>
      </w:pPr>
    </w:p>
    <w:p w14:paraId="4EF5DB51" w14:textId="1AE6F97C" w:rsidR="001A0684" w:rsidRPr="00A3760C" w:rsidRDefault="001A0684" w:rsidP="001A0684">
      <w:pPr>
        <w:spacing w:after="0" w:line="360" w:lineRule="auto"/>
        <w:rPr>
          <w:rFonts w:eastAsia="Calibri" w:cstheme="minorHAnsi"/>
          <w:bCs/>
        </w:rPr>
      </w:pPr>
      <w:r w:rsidRPr="00A3760C">
        <w:rPr>
          <w:rFonts w:eastAsia="Calibri" w:cstheme="minorHAnsi"/>
          <w:bCs/>
        </w:rPr>
        <w:t xml:space="preserve">Palácio de São Bento, </w:t>
      </w:r>
      <w:r w:rsidR="003D1DE9">
        <w:rPr>
          <w:rFonts w:eastAsia="Calibri" w:cstheme="minorHAnsi"/>
          <w:bCs/>
        </w:rPr>
        <w:t>7</w:t>
      </w:r>
      <w:r w:rsidRPr="00A3760C">
        <w:rPr>
          <w:rFonts w:eastAsia="Calibri" w:cstheme="minorHAnsi"/>
          <w:bCs/>
        </w:rPr>
        <w:t xml:space="preserve"> de </w:t>
      </w:r>
      <w:r w:rsidR="00740100" w:rsidRPr="00A3760C">
        <w:rPr>
          <w:rFonts w:eastAsia="Calibri" w:cstheme="minorHAnsi"/>
          <w:bCs/>
        </w:rPr>
        <w:t>maio</w:t>
      </w:r>
      <w:r w:rsidRPr="00A3760C">
        <w:rPr>
          <w:rFonts w:eastAsia="Calibri" w:cstheme="minorHAnsi"/>
          <w:bCs/>
        </w:rPr>
        <w:t xml:space="preserve"> de 2020,</w:t>
      </w:r>
    </w:p>
    <w:p w14:paraId="48EB89F1" w14:textId="77777777" w:rsidR="001A0684" w:rsidRPr="00A3760C" w:rsidRDefault="001A0684" w:rsidP="001A0684">
      <w:pPr>
        <w:spacing w:after="0" w:line="360" w:lineRule="auto"/>
        <w:jc w:val="both"/>
        <w:rPr>
          <w:rFonts w:eastAsia="Calibri" w:cstheme="minorHAnsi"/>
        </w:rPr>
      </w:pPr>
    </w:p>
    <w:p w14:paraId="0F17C263" w14:textId="77777777" w:rsidR="001A0684" w:rsidRPr="001A0684" w:rsidRDefault="001A0684" w:rsidP="001A0684">
      <w:pPr>
        <w:spacing w:after="0" w:line="360" w:lineRule="auto"/>
        <w:jc w:val="center"/>
        <w:rPr>
          <w:rFonts w:eastAsia="Calibri" w:cstheme="minorHAnsi"/>
        </w:rPr>
      </w:pPr>
    </w:p>
    <w:p w14:paraId="1D890FA8" w14:textId="0D23811F" w:rsidR="001A0684" w:rsidRDefault="001A0684" w:rsidP="001A0684">
      <w:pPr>
        <w:spacing w:after="0" w:line="360" w:lineRule="auto"/>
        <w:jc w:val="center"/>
        <w:rPr>
          <w:rFonts w:eastAsia="Calibri" w:cstheme="minorHAnsi"/>
        </w:rPr>
      </w:pPr>
      <w:r w:rsidRPr="001A0684">
        <w:rPr>
          <w:rFonts w:eastAsia="Calibri" w:cstheme="minorHAnsi"/>
        </w:rPr>
        <w:t>O Deputados,</w:t>
      </w:r>
    </w:p>
    <w:p w14:paraId="261D4733" w14:textId="4C412733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</w:p>
    <w:p w14:paraId="5416C1E1" w14:textId="77777777" w:rsidR="00897A78" w:rsidRDefault="00897A78" w:rsidP="001A0684">
      <w:pPr>
        <w:spacing w:after="0" w:line="360" w:lineRule="auto"/>
        <w:jc w:val="center"/>
        <w:rPr>
          <w:rFonts w:eastAsia="Calibri" w:cstheme="minorHAnsi"/>
        </w:rPr>
      </w:pPr>
    </w:p>
    <w:p w14:paraId="7A89A7CA" w14:textId="2DB356D4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(Ricardo Pinheiro)</w:t>
      </w:r>
    </w:p>
    <w:p w14:paraId="6B338756" w14:textId="68B2FE61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</w:p>
    <w:p w14:paraId="35D5B0B9" w14:textId="77777777" w:rsidR="00BD3B0F" w:rsidRDefault="00BD3B0F" w:rsidP="001A0684">
      <w:pPr>
        <w:spacing w:after="0" w:line="360" w:lineRule="auto"/>
        <w:jc w:val="center"/>
        <w:rPr>
          <w:rFonts w:eastAsia="Calibri" w:cstheme="minorHAnsi"/>
        </w:rPr>
      </w:pPr>
    </w:p>
    <w:p w14:paraId="3701A3A5" w14:textId="77489A57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(Hugo Pires)</w:t>
      </w:r>
    </w:p>
    <w:p w14:paraId="37560061" w14:textId="2D6E0836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</w:p>
    <w:p w14:paraId="713DBE1B" w14:textId="77777777" w:rsidR="00BD3B0F" w:rsidRDefault="00BD3B0F" w:rsidP="001A0684">
      <w:pPr>
        <w:spacing w:after="0" w:line="360" w:lineRule="auto"/>
        <w:jc w:val="center"/>
        <w:rPr>
          <w:rFonts w:eastAsia="Calibri" w:cstheme="minorHAnsi"/>
        </w:rPr>
      </w:pPr>
    </w:p>
    <w:p w14:paraId="747750BB" w14:textId="7F20B11A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(Luís Graça)</w:t>
      </w:r>
    </w:p>
    <w:p w14:paraId="44DA13B9" w14:textId="7DFCA6C9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</w:p>
    <w:p w14:paraId="609774F0" w14:textId="77777777" w:rsidR="00BD3B0F" w:rsidRDefault="00BD3B0F" w:rsidP="001A0684">
      <w:pPr>
        <w:spacing w:after="0" w:line="360" w:lineRule="auto"/>
        <w:jc w:val="center"/>
        <w:rPr>
          <w:rFonts w:eastAsia="Calibri" w:cstheme="minorHAnsi"/>
        </w:rPr>
      </w:pPr>
    </w:p>
    <w:p w14:paraId="3C8A3CC3" w14:textId="24373067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(Vera Braz)</w:t>
      </w:r>
    </w:p>
    <w:p w14:paraId="7448AB78" w14:textId="0EF088C4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</w:p>
    <w:p w14:paraId="3CBB7177" w14:textId="77777777" w:rsidR="00BD3B0F" w:rsidRDefault="00BD3B0F" w:rsidP="001A0684">
      <w:pPr>
        <w:spacing w:after="0" w:line="360" w:lineRule="auto"/>
        <w:jc w:val="center"/>
        <w:rPr>
          <w:rFonts w:eastAsia="Calibri" w:cstheme="minorHAnsi"/>
        </w:rPr>
      </w:pPr>
    </w:p>
    <w:p w14:paraId="13559FF7" w14:textId="29FDBA87" w:rsidR="00FF0898" w:rsidRDefault="00FF0898" w:rsidP="001A0684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(Nuno Fazenda)</w:t>
      </w:r>
    </w:p>
    <w:p w14:paraId="05E99487" w14:textId="60EF0112" w:rsidR="003D1DE9" w:rsidRDefault="003D1DE9" w:rsidP="001A0684">
      <w:pPr>
        <w:spacing w:after="0" w:line="360" w:lineRule="auto"/>
        <w:jc w:val="center"/>
        <w:rPr>
          <w:rFonts w:eastAsia="Calibri" w:cstheme="minorHAnsi"/>
        </w:rPr>
      </w:pPr>
    </w:p>
    <w:p w14:paraId="4C08F6CA" w14:textId="77777777" w:rsidR="00BD3B0F" w:rsidRDefault="00BD3B0F" w:rsidP="001A0684">
      <w:pPr>
        <w:spacing w:after="0" w:line="360" w:lineRule="auto"/>
        <w:jc w:val="center"/>
        <w:rPr>
          <w:rFonts w:eastAsia="Calibri" w:cstheme="minorHAnsi"/>
        </w:rPr>
      </w:pPr>
    </w:p>
    <w:p w14:paraId="5A7965F6" w14:textId="48298818" w:rsidR="007E0C1A" w:rsidRPr="001A0684" w:rsidRDefault="003D1DE9" w:rsidP="00BD3B0F">
      <w:pPr>
        <w:spacing w:after="0" w:line="360" w:lineRule="auto"/>
        <w:jc w:val="center"/>
        <w:rPr>
          <w:rFonts w:cstheme="minorHAnsi"/>
        </w:rPr>
      </w:pPr>
      <w:r>
        <w:rPr>
          <w:rFonts w:eastAsia="Calibri" w:cstheme="minorHAnsi"/>
        </w:rPr>
        <w:t>(João N</w:t>
      </w:r>
      <w:bookmarkStart w:id="0" w:name="_GoBack"/>
      <w:bookmarkEnd w:id="0"/>
      <w:r>
        <w:rPr>
          <w:rFonts w:eastAsia="Calibri" w:cstheme="minorHAnsi"/>
        </w:rPr>
        <w:t>icolau</w:t>
      </w:r>
      <w:r w:rsidR="00BD3B0F">
        <w:rPr>
          <w:rFonts w:eastAsia="Calibri" w:cstheme="minorHAnsi"/>
        </w:rPr>
        <w:t>)</w:t>
      </w:r>
    </w:p>
    <w:sectPr w:rsidR="007E0C1A" w:rsidRPr="001A06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D84F" w14:textId="77777777" w:rsidR="00F7205C" w:rsidRDefault="00F7205C" w:rsidP="00BD3B0F">
      <w:pPr>
        <w:spacing w:after="0" w:line="240" w:lineRule="auto"/>
      </w:pPr>
      <w:r>
        <w:separator/>
      </w:r>
    </w:p>
  </w:endnote>
  <w:endnote w:type="continuationSeparator" w:id="0">
    <w:p w14:paraId="7F884B2A" w14:textId="77777777" w:rsidR="00F7205C" w:rsidRDefault="00F7205C" w:rsidP="00B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1FA6" w14:textId="77777777" w:rsidR="00F7205C" w:rsidRDefault="00F7205C" w:rsidP="00BD3B0F">
      <w:pPr>
        <w:spacing w:after="0" w:line="240" w:lineRule="auto"/>
      </w:pPr>
      <w:r>
        <w:separator/>
      </w:r>
    </w:p>
  </w:footnote>
  <w:footnote w:type="continuationSeparator" w:id="0">
    <w:p w14:paraId="09E2440C" w14:textId="77777777" w:rsidR="00F7205C" w:rsidRDefault="00F7205C" w:rsidP="00BD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1D42" w14:textId="41C107AB" w:rsidR="00BD3B0F" w:rsidRDefault="00BD3B0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1854BF6" wp14:editId="30E2417E">
          <wp:simplePos x="0" y="0"/>
          <wp:positionH relativeFrom="margin">
            <wp:posOffset>2057400</wp:posOffset>
          </wp:positionH>
          <wp:positionV relativeFrom="paragraph">
            <wp:posOffset>635</wp:posOffset>
          </wp:positionV>
          <wp:extent cx="1204159" cy="850789"/>
          <wp:effectExtent l="0" t="0" r="0" b="6985"/>
          <wp:wrapNone/>
          <wp:docPr id="1" name="Imagem 1" descr="cid:1084000943594C468BF052A432FCDF95@ps.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84000943594C468BF052A432FCDF95@ps.pt" descr="cid:1084000943594C468BF052A432FCDF95@ps.p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59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599DF" w14:textId="5CFB3648" w:rsidR="00BD3B0F" w:rsidRDefault="00BD3B0F">
    <w:pPr>
      <w:pStyle w:val="Cabealho"/>
    </w:pPr>
  </w:p>
  <w:p w14:paraId="2C44D8B5" w14:textId="28D259A1" w:rsidR="00BD3B0F" w:rsidRDefault="00BD3B0F">
    <w:pPr>
      <w:pStyle w:val="Cabealho"/>
    </w:pPr>
  </w:p>
  <w:p w14:paraId="2250467C" w14:textId="6BA1373D" w:rsidR="00BD3B0F" w:rsidRDefault="00BD3B0F">
    <w:pPr>
      <w:pStyle w:val="Cabealho"/>
    </w:pPr>
  </w:p>
  <w:p w14:paraId="0939407A" w14:textId="56C7F527" w:rsidR="00BD3B0F" w:rsidRDefault="00BD3B0F">
    <w:pPr>
      <w:pStyle w:val="Cabealho"/>
    </w:pPr>
  </w:p>
  <w:p w14:paraId="4F88E24D" w14:textId="77777777" w:rsidR="00BD3B0F" w:rsidRDefault="00BD3B0F">
    <w:pPr>
      <w:pStyle w:val="Cabealho"/>
    </w:pPr>
  </w:p>
  <w:p w14:paraId="68A047C9" w14:textId="4EA8EE0B" w:rsidR="00BD3B0F" w:rsidRDefault="00BD3B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27D0"/>
    <w:multiLevelType w:val="hybridMultilevel"/>
    <w:tmpl w:val="448AF716"/>
    <w:lvl w:ilvl="0" w:tplc="C70E09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F8D"/>
    <w:multiLevelType w:val="hybridMultilevel"/>
    <w:tmpl w:val="DC986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3ADA"/>
    <w:multiLevelType w:val="hybridMultilevel"/>
    <w:tmpl w:val="1008841A"/>
    <w:lvl w:ilvl="0" w:tplc="08F05D9A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77109"/>
    <w:multiLevelType w:val="hybridMultilevel"/>
    <w:tmpl w:val="8B164D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1A"/>
    <w:rsid w:val="00050072"/>
    <w:rsid w:val="00070D21"/>
    <w:rsid w:val="000D0DDA"/>
    <w:rsid w:val="001349A6"/>
    <w:rsid w:val="001A0684"/>
    <w:rsid w:val="001F71FF"/>
    <w:rsid w:val="00264360"/>
    <w:rsid w:val="002675DF"/>
    <w:rsid w:val="003034AF"/>
    <w:rsid w:val="0030738A"/>
    <w:rsid w:val="00313322"/>
    <w:rsid w:val="003135DF"/>
    <w:rsid w:val="003D1DE9"/>
    <w:rsid w:val="00480C44"/>
    <w:rsid w:val="004A2FEF"/>
    <w:rsid w:val="004B08FE"/>
    <w:rsid w:val="004B40D7"/>
    <w:rsid w:val="004D238A"/>
    <w:rsid w:val="00525899"/>
    <w:rsid w:val="005A01B8"/>
    <w:rsid w:val="005D682D"/>
    <w:rsid w:val="00623B74"/>
    <w:rsid w:val="00641656"/>
    <w:rsid w:val="00650EF4"/>
    <w:rsid w:val="00697BE8"/>
    <w:rsid w:val="006C3DB5"/>
    <w:rsid w:val="00724F75"/>
    <w:rsid w:val="00740100"/>
    <w:rsid w:val="007821A8"/>
    <w:rsid w:val="00791F59"/>
    <w:rsid w:val="007E0C1A"/>
    <w:rsid w:val="0080370D"/>
    <w:rsid w:val="00814533"/>
    <w:rsid w:val="00897A78"/>
    <w:rsid w:val="008B4153"/>
    <w:rsid w:val="0090212A"/>
    <w:rsid w:val="00905F40"/>
    <w:rsid w:val="009F3710"/>
    <w:rsid w:val="00A3760C"/>
    <w:rsid w:val="00A71E16"/>
    <w:rsid w:val="00AC2000"/>
    <w:rsid w:val="00AD1464"/>
    <w:rsid w:val="00AD2AD9"/>
    <w:rsid w:val="00B444A4"/>
    <w:rsid w:val="00B6347C"/>
    <w:rsid w:val="00B700C0"/>
    <w:rsid w:val="00BC09D0"/>
    <w:rsid w:val="00BC4CC1"/>
    <w:rsid w:val="00BD3B0F"/>
    <w:rsid w:val="00C406E4"/>
    <w:rsid w:val="00C80EBE"/>
    <w:rsid w:val="00D06C75"/>
    <w:rsid w:val="00D22AE2"/>
    <w:rsid w:val="00E21809"/>
    <w:rsid w:val="00E53F2A"/>
    <w:rsid w:val="00E54319"/>
    <w:rsid w:val="00E673AF"/>
    <w:rsid w:val="00E87917"/>
    <w:rsid w:val="00F21107"/>
    <w:rsid w:val="00F32C5C"/>
    <w:rsid w:val="00F7205C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873"/>
  <w15:chartTrackingRefBased/>
  <w15:docId w15:val="{45010BE9-379D-4C34-A25B-9783A68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C1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6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15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3B0F"/>
  </w:style>
  <w:style w:type="paragraph" w:styleId="Rodap">
    <w:name w:val="footer"/>
    <w:basedOn w:val="Normal"/>
    <w:link w:val="RodapCarter"/>
    <w:uiPriority w:val="99"/>
    <w:unhideWhenUsed/>
    <w:rsid w:val="00B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084000943594C468BF052A432FCDF95@ps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2020-05-07T23:00:00+00:00</DataDocumento>
    <IDFase xmlns="2e97e158-1a31-4bff-9a0a-f8ebffd34ea8">0</IDFase>
    <IDIniciativa xmlns="2e97e158-1a31-4bff-9a0a-f8ebffd34ea8">44828</IDIniciativa>
    <TipoDocumento xmlns="2e97e158-1a31-4bff-9a0a-f8ebffd34ea8">Texto</TipoDocumento>
    <NomeOriginalFicheiro xmlns="2e97e158-1a31-4bff-9a0a-f8ebffd34ea8">pjr431-XIV.docx</NomeOriginalFicheiro>
    <NROrdem xmlns="2e97e158-1a31-4bff-9a0a-f8ebffd34ea8">0</NROrdem>
    <PublicarInternet xmlns="2e97e158-1a31-4bff-9a0a-f8ebffd34ea8">true</PublicarInternet>
    <NRIniciativa xmlns="2e97e158-1a31-4bff-9a0a-f8ebffd34ea8">431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57B772D8-A40E-4A99-92E5-6A513E18DD13}"/>
</file>

<file path=customXml/itemProps2.xml><?xml version="1.0" encoding="utf-8"?>
<ds:datastoreItem xmlns:ds="http://schemas.openxmlformats.org/officeDocument/2006/customXml" ds:itemID="{412A0197-FEC1-4A5A-9A58-313B0E9C64FC}"/>
</file>

<file path=customXml/itemProps3.xml><?xml version="1.0" encoding="utf-8"?>
<ds:datastoreItem xmlns:ds="http://schemas.openxmlformats.org/officeDocument/2006/customXml" ds:itemID="{482EFD26-7BCC-439C-B643-E77CAB27F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Ricardo Pinheiro</dc:creator>
  <cp:keywords/>
  <dc:description/>
  <cp:lastModifiedBy>Pedro Camacho</cp:lastModifiedBy>
  <cp:revision>2</cp:revision>
  <dcterms:created xsi:type="dcterms:W3CDTF">2020-05-08T09:10:00Z</dcterms:created>
  <dcterms:modified xsi:type="dcterms:W3CDTF">2020-05-08T09:10:00Z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216700</vt:r8>
  </property>
</Properties>
</file>