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Projeto de Lei Orgânica n.º</w:t>
      </w:r>
      <w:r w:rsidR="0060053F">
        <w:rPr>
          <w:b/>
          <w:bCs/>
          <w:sz w:val="24"/>
          <w:szCs w:val="24"/>
        </w:rPr>
        <w:t xml:space="preserve"> 792</w:t>
      </w:r>
      <w:bookmarkStart w:id="0" w:name="_GoBack"/>
      <w:bookmarkEnd w:id="0"/>
      <w:r w:rsidRPr="00992E98">
        <w:rPr>
          <w:b/>
          <w:bCs/>
          <w:sz w:val="24"/>
          <w:szCs w:val="24"/>
        </w:rPr>
        <w:t>/XIV/2.ª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Altera a Lei da Defesa Nacional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(2.ª alteração à Lei Orgânica n.º 1-B/2009, de 7 de julho)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Exposição de motivos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</w:p>
    <w:p w:rsid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No quadro da discussão de uma proposta de lei do Governo de alteração à Lei de Defesa Nacional, considera o PCP ser oportuno apresentar um conjunto de propostas de alteração a esse diploma legal que incidam, nomeadamente, sobre os poderes do Presidente da República enquanto Comandante Supremo das Forças Armadas e os direitos dos militares na efetividade de serviço.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</w:p>
    <w:p w:rsid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Assim, sendo o Presidente da República, por inerência, o Comandante Supremo das Forças Armadas, com a competência para declarar a guerra, será um ato de coerência atribuir-lhe também o poder de autorizar o emprego das Forças Armadas em missões contra agressões e ameaças transnacionais ou em operações militares no exterior do território nacional.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</w:p>
    <w:p w:rsid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 xml:space="preserve">Quanto à Assembleia da República, propõe-se o alargamento, de dois para quatro, da representação deste órgão de soberania no Conselho Superior de Defesa Nacional, eliminando a exigência de eleição por maioria de dois terços. 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</w:p>
    <w:p w:rsid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Em relação aos direitos dos militares na efetividade de serviço, as propostas do PCP visam, por um lado, eliminar elementos de subjetividade e não mensuráveis como o conceito de “coesão” e, por outro, adequar as regras gerais do exercício dos direitos ao quadro constitucional, nomeadamente no que, estritamente, diz respeito ao «apartidarismo» das Forças Armadas e dos militares.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>Nestes termos, ao abrigo da alínea b) do artigo 156.º da Constituição e da alínea b) do n.º 1 do artigo 4.º do Regimento, os Deputados da Grupo Parlamentar do PCP apresentam o seguinte Projeto de Lei: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1.º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Alterações à Lei Orgânica n.º 1-B/2009, de 7 de julho</w:t>
      </w: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>Os artigos 10.º, 11.º, 13.º, 16.º, 27.º, 28.º, 29.º, 30.º, 31.º e 32.º da Lei Orgânica n.º 1-B/2009, de 7 de julho, com as alterações que lhe foram introduzidas pela Lei Orgânica n.º 5/2014, de 29 de agosto, passam a ter a seguinte redação: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“Artigo 10.º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Comandante Supremo das Forças Armadas</w:t>
      </w: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>1 – (…)</w:t>
      </w:r>
    </w:p>
    <w:p w:rsidR="00992E98" w:rsidRPr="00992E98" w:rsidRDefault="00992E98" w:rsidP="00992E98">
      <w:pPr>
        <w:pStyle w:val="PargrafodaLista"/>
        <w:numPr>
          <w:ilvl w:val="0"/>
          <w:numId w:val="37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</w:t>
      </w:r>
    </w:p>
    <w:p w:rsidR="00992E98" w:rsidRPr="00992E98" w:rsidRDefault="00992E98" w:rsidP="00992E98">
      <w:pPr>
        <w:pStyle w:val="PargrafodaLista"/>
        <w:numPr>
          <w:ilvl w:val="0"/>
          <w:numId w:val="37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</w:t>
      </w:r>
    </w:p>
    <w:p w:rsidR="00992E98" w:rsidRPr="00992E98" w:rsidRDefault="00992E98" w:rsidP="00992E98">
      <w:pPr>
        <w:pStyle w:val="PargrafodaLista"/>
        <w:numPr>
          <w:ilvl w:val="0"/>
          <w:numId w:val="37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lastRenderedPageBreak/>
        <w:t>Autorizar, sob proposta do Governo, o emprego das Forças Armadas em missões que envolvam a colaboração com as forças e os serviços de segurança contra agressões ou ameaças transnacionais;</w:t>
      </w:r>
    </w:p>
    <w:p w:rsidR="00992E98" w:rsidRPr="00992E98" w:rsidRDefault="00992E98" w:rsidP="00992E98">
      <w:pPr>
        <w:pStyle w:val="PargrafodaLista"/>
        <w:numPr>
          <w:ilvl w:val="0"/>
          <w:numId w:val="37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Autorizar, sob proposta do Governo, o emprego das Forças Armadas, e de outras forças quando integradas numa força militar, em operações militares no exterior do território nacional;</w:t>
      </w:r>
    </w:p>
    <w:p w:rsidR="00992E98" w:rsidRPr="00992E98" w:rsidRDefault="00992E98" w:rsidP="00992E98">
      <w:pPr>
        <w:pStyle w:val="PargrafodaLista"/>
        <w:numPr>
          <w:ilvl w:val="0"/>
          <w:numId w:val="37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(Anterior alínea d);</w:t>
      </w:r>
    </w:p>
    <w:p w:rsidR="00992E98" w:rsidRPr="00992E98" w:rsidRDefault="00992E98" w:rsidP="00992E98">
      <w:pPr>
        <w:pStyle w:val="PargrafodaLista"/>
        <w:numPr>
          <w:ilvl w:val="0"/>
          <w:numId w:val="37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(Anterior alínea e);</w:t>
      </w:r>
    </w:p>
    <w:p w:rsidR="00992E98" w:rsidRPr="00992E98" w:rsidRDefault="00992E98" w:rsidP="00992E98">
      <w:pPr>
        <w:pStyle w:val="PargrafodaLista"/>
        <w:numPr>
          <w:ilvl w:val="0"/>
          <w:numId w:val="37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(Anterior alínea f);</w:t>
      </w:r>
    </w:p>
    <w:p w:rsidR="00992E98" w:rsidRPr="00992E98" w:rsidRDefault="00992E98" w:rsidP="00992E98">
      <w:pPr>
        <w:pStyle w:val="PargrafodaLista"/>
        <w:numPr>
          <w:ilvl w:val="0"/>
          <w:numId w:val="37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(Anterior alínea g).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2 – A autorização para o emprego das Forças Armadas, e de outras forças quando integradas numa força militar, em operações militares no exterior do território nacional é precedida de proposta fundamentada do Primeiro-Ministro, a qual deve, designadamente, incluir:</w:t>
      </w:r>
    </w:p>
    <w:p w:rsidR="00992E98" w:rsidRPr="00992E98" w:rsidRDefault="00992E98" w:rsidP="00992E98">
      <w:pPr>
        <w:pStyle w:val="PargrafodaLista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(…).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11.º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Assembleia da República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Sem prejuízo de outras competências que lhe sejam atribuídas pela Constituição ou pela lei, compete à Assembleia da República, em matéria de defesa nacional: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(atual alínea l));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(atual alínea m));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(atual alínea n));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(atual alínea o));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(atual alínea p));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Apreciar a decisão do Governo de propor ao Presidente da República o envolvimento de contingentes ou forças militares em operações militares no estrangeiro, que lhe é comunicada previamente, e acompanhar a participação desses contingentes ou forças nas missões, nos termos fixados em lei própria;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Em caso de guerra, acompanhar a evolução da situação;</w:t>
      </w:r>
    </w:p>
    <w:p w:rsidR="00992E98" w:rsidRPr="00992E98" w:rsidRDefault="00992E98" w:rsidP="00992E98">
      <w:pPr>
        <w:pStyle w:val="PargrafodaLista"/>
        <w:numPr>
          <w:ilvl w:val="0"/>
          <w:numId w:val="39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Eleger quatro Deputados para membros do Conselho Superior de Defesa Nacional pelo método da média mais alta de Hondt.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13º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Primeiro-ministro</w:t>
      </w: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>1 – (…).</w:t>
      </w: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>2 – (…)</w:t>
      </w:r>
    </w:p>
    <w:p w:rsidR="00992E98" w:rsidRPr="00992E98" w:rsidRDefault="00992E98" w:rsidP="00992E98">
      <w:pPr>
        <w:pStyle w:val="PargrafodaLista"/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0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Apresentar ao Presidente da República a proposta fundamentada do emprego das Forças Armadas, e de outras forças quando integradas numa força militar, em operações militares no exterior do território nacional;</w:t>
      </w:r>
    </w:p>
    <w:p w:rsidR="00992E98" w:rsidRPr="00992E98" w:rsidRDefault="00992E98" w:rsidP="00992E98">
      <w:pPr>
        <w:pStyle w:val="PargrafodaLista"/>
        <w:numPr>
          <w:ilvl w:val="0"/>
          <w:numId w:val="40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Propor ao Presidente da República o emprego das Forças Armadas em missões que envolvam a colaboração com as forças e os serviços de segurança contra agressões ou ameaças transnacionais;</w:t>
      </w:r>
    </w:p>
    <w:p w:rsidR="00992E98" w:rsidRPr="00992E98" w:rsidRDefault="00992E98" w:rsidP="00992E98">
      <w:pPr>
        <w:pStyle w:val="PargrafodaLista"/>
        <w:numPr>
          <w:ilvl w:val="0"/>
          <w:numId w:val="40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0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3 – (…).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16.º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Conselho Superior de Defesa Nacional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1 – (…).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2 – (…).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3 – (…):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(…);</w:t>
      </w:r>
    </w:p>
    <w:p w:rsidR="00992E98" w:rsidRPr="00992E98" w:rsidRDefault="00992E98" w:rsidP="00992E98">
      <w:pPr>
        <w:pStyle w:val="PargrafodaLista"/>
        <w:numPr>
          <w:ilvl w:val="0"/>
          <w:numId w:val="41"/>
        </w:numPr>
        <w:spacing w:after="160" w:line="259" w:lineRule="auto"/>
        <w:jc w:val="both"/>
        <w:rPr>
          <w:sz w:val="24"/>
          <w:szCs w:val="24"/>
        </w:rPr>
      </w:pPr>
      <w:r w:rsidRPr="00992E98">
        <w:rPr>
          <w:sz w:val="24"/>
          <w:szCs w:val="24"/>
        </w:rPr>
        <w:t>Quatro Deputados à Assembleia da República, eleitos nos termos da alínea s) do artigo 11.º.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27.º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Regras gerais sobre o exercício de direitos</w:t>
      </w: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>1 - No exercício dos seus direitos, os militares na efetividade de serviço estão sujeitos aos deveres decorrentes do estatuto da condição militar.</w:t>
      </w: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>2 – (…).</w:t>
      </w: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>3 – (…).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28.º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Liberdade de expressão</w:t>
      </w: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 xml:space="preserve">1 - Os militares na efetividade de serviço têm o direito de proferir declarações públicas sobre qualquer assunto, com a reserva própria do estatuto da condição militar, desde </w:t>
      </w:r>
      <w:r w:rsidRPr="00992E98">
        <w:rPr>
          <w:sz w:val="24"/>
          <w:szCs w:val="24"/>
        </w:rPr>
        <w:lastRenderedPageBreak/>
        <w:t>que aquelas não ponham em risco a disciplina das Forças Armadas, nem o dever de isenção partidária dos seus membros.</w:t>
      </w:r>
    </w:p>
    <w:p w:rsidR="00992E98" w:rsidRPr="00992E98" w:rsidRDefault="00992E98" w:rsidP="00992E98">
      <w:pPr>
        <w:rPr>
          <w:sz w:val="24"/>
          <w:szCs w:val="24"/>
        </w:rPr>
      </w:pPr>
      <w:r w:rsidRPr="00992E98">
        <w:rPr>
          <w:sz w:val="24"/>
          <w:szCs w:val="24"/>
        </w:rPr>
        <w:t>2 – (…).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29.º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Direito de reunião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1 - Os militares na efetividade de serviço podem participar em reuniões legalmente convocadas, desde que trajem civilmente e não ostentem qualquer símbolo nacional ou das Forças Armadas.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2 – (…).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3 - O direito de reunião não pode ser exercido dentro das unidades e estabelecimentos militares, sem estar devidamente autorizado, nem de modo que prejudique o serviço normalmente atribuído ao militar ou a permanente disponibilidade deste para o seu cumprimento.</w:t>
      </w:r>
    </w:p>
    <w:p w:rsidR="00992E98" w:rsidRPr="00992E98" w:rsidRDefault="00992E98" w:rsidP="00992E98">
      <w:pPr>
        <w:jc w:val="center"/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30.º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Direito de manifestação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Os militares na efetividade de serviço podem participar em manifestações legalmente convocadas sem natureza partidária, desde que estejam desarmados, trajem civilmente, não ostentem qualquer símbolo nacional ou das Forças Armadas e desde que a sua participação não ponha em risco a disciplina das Forças Armadas.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31.º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Liberdade de associação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1 - Os militares na efetividade de serviço têm o direito de constituir ou integrar associações sem natureza partidária, nomeadamente associações profissionais.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2 - O exercício do direito de associação profissional dos militares é regulado por lei própria.</w:t>
      </w:r>
    </w:p>
    <w:p w:rsidR="00992E98" w:rsidRPr="00992E98" w:rsidRDefault="00992E98" w:rsidP="00992E98">
      <w:pPr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32.º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Direito de petição coletiva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Os militares na efetividade de serviço têm o direito de promover ou apresentar petições coletivas dirigidas aos órgãos de soberania ou a outras autoridades, desde que as mesmas não ponham em risco a disciplina das Forças Armadas, nem o dever de isenção partidária dos seus membros.”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Artigo 2.º</w:t>
      </w:r>
    </w:p>
    <w:p w:rsidR="00992E98" w:rsidRPr="00992E98" w:rsidRDefault="00992E98" w:rsidP="00992E98">
      <w:pPr>
        <w:jc w:val="center"/>
        <w:rPr>
          <w:b/>
          <w:bCs/>
          <w:sz w:val="24"/>
          <w:szCs w:val="24"/>
        </w:rPr>
      </w:pPr>
      <w:r w:rsidRPr="00992E98">
        <w:rPr>
          <w:b/>
          <w:bCs/>
          <w:sz w:val="24"/>
          <w:szCs w:val="24"/>
        </w:rPr>
        <w:t>Entrada em vigor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A presente lei entra em vigor no dia seguinte ao da sua publicação.</w:t>
      </w:r>
    </w:p>
    <w:p w:rsidR="00992E98" w:rsidRDefault="00992E98" w:rsidP="00992E98">
      <w:pPr>
        <w:jc w:val="both"/>
        <w:rPr>
          <w:sz w:val="24"/>
          <w:szCs w:val="24"/>
        </w:rPr>
      </w:pPr>
    </w:p>
    <w:p w:rsidR="00992E98" w:rsidRPr="00992E98" w:rsidRDefault="00992E98" w:rsidP="00992E98">
      <w:pPr>
        <w:jc w:val="both"/>
        <w:rPr>
          <w:sz w:val="24"/>
          <w:szCs w:val="24"/>
        </w:rPr>
      </w:pPr>
    </w:p>
    <w:p w:rsidR="00992E98" w:rsidRPr="00992E98" w:rsidRDefault="00992E98" w:rsidP="00992E98">
      <w:pPr>
        <w:jc w:val="center"/>
        <w:rPr>
          <w:sz w:val="24"/>
          <w:szCs w:val="24"/>
        </w:rPr>
      </w:pPr>
      <w:r w:rsidRPr="00992E98">
        <w:rPr>
          <w:sz w:val="24"/>
          <w:szCs w:val="24"/>
        </w:rPr>
        <w:t>Assembleia da República, 12 de abril de 2021</w:t>
      </w:r>
    </w:p>
    <w:p w:rsidR="00992E98" w:rsidRPr="00992E98" w:rsidRDefault="00992E98" w:rsidP="00992E98">
      <w:pPr>
        <w:jc w:val="both"/>
        <w:rPr>
          <w:sz w:val="24"/>
          <w:szCs w:val="24"/>
        </w:rPr>
      </w:pPr>
    </w:p>
    <w:p w:rsidR="00992E98" w:rsidRDefault="00992E98" w:rsidP="00992E98">
      <w:pPr>
        <w:jc w:val="center"/>
        <w:rPr>
          <w:sz w:val="24"/>
          <w:szCs w:val="24"/>
        </w:rPr>
      </w:pPr>
      <w:r w:rsidRPr="00992E98">
        <w:rPr>
          <w:sz w:val="24"/>
          <w:szCs w:val="24"/>
        </w:rPr>
        <w:t>Os Deputados</w:t>
      </w:r>
      <w:r>
        <w:rPr>
          <w:sz w:val="24"/>
          <w:szCs w:val="24"/>
        </w:rPr>
        <w:t>,</w:t>
      </w:r>
    </w:p>
    <w:p w:rsidR="00992E98" w:rsidRDefault="00992E98" w:rsidP="00992E98">
      <w:pPr>
        <w:jc w:val="center"/>
        <w:rPr>
          <w:sz w:val="24"/>
          <w:szCs w:val="24"/>
        </w:rPr>
      </w:pPr>
    </w:p>
    <w:p w:rsidR="00992E98" w:rsidRDefault="00992E98" w:rsidP="00992E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ANTÓNIO FILIPE; JOÃO OLIVEIRA; PAULA SANTOS; DUARTE ALVES; DIANA FERREIRA; BRUNO DIAS; JERÓNIMO DE SOUSA; ANA MESQUITA; ALMA RIVERA; JOÃO DIAS</w:t>
      </w:r>
    </w:p>
    <w:sectPr w:rsidR="00992E98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03" w:rsidRDefault="00CB4E03">
      <w:r>
        <w:separator/>
      </w:r>
    </w:p>
  </w:endnote>
  <w:endnote w:type="continuationSeparator" w:id="0">
    <w:p w:rsidR="00CB4E03" w:rsidRDefault="00CB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03" w:rsidRDefault="00CB4E03">
      <w:r>
        <w:separator/>
      </w:r>
    </w:p>
  </w:footnote>
  <w:footnote w:type="continuationSeparator" w:id="0">
    <w:p w:rsidR="00CB4E03" w:rsidRDefault="00CB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52175AE"/>
    <w:multiLevelType w:val="hybridMultilevel"/>
    <w:tmpl w:val="F8E4CE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71576"/>
    <w:multiLevelType w:val="hybridMultilevel"/>
    <w:tmpl w:val="FD600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87176"/>
    <w:multiLevelType w:val="hybridMultilevel"/>
    <w:tmpl w:val="666E19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8247D"/>
    <w:multiLevelType w:val="hybridMultilevel"/>
    <w:tmpl w:val="739A38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6ED33CA"/>
    <w:multiLevelType w:val="hybridMultilevel"/>
    <w:tmpl w:val="F3E8D59A"/>
    <w:lvl w:ilvl="0" w:tplc="1FE4F3C4">
      <w:start w:val="1"/>
      <w:numFmt w:val="lowerLetter"/>
      <w:lvlText w:val="%1)"/>
      <w:lvlJc w:val="left"/>
      <w:pPr>
        <w:ind w:left="77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1"/>
  </w:num>
  <w:num w:numId="4">
    <w:abstractNumId w:val="40"/>
  </w:num>
  <w:num w:numId="5">
    <w:abstractNumId w:val="21"/>
  </w:num>
  <w:num w:numId="6">
    <w:abstractNumId w:val="22"/>
  </w:num>
  <w:num w:numId="7">
    <w:abstractNumId w:val="24"/>
  </w:num>
  <w:num w:numId="8">
    <w:abstractNumId w:val="32"/>
  </w:num>
  <w:num w:numId="9">
    <w:abstractNumId w:val="36"/>
  </w:num>
  <w:num w:numId="10">
    <w:abstractNumId w:val="20"/>
  </w:num>
  <w:num w:numId="11">
    <w:abstractNumId w:val="33"/>
  </w:num>
  <w:num w:numId="12">
    <w:abstractNumId w:val="2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  <w:num w:numId="38">
    <w:abstractNumId w:val="29"/>
  </w:num>
  <w:num w:numId="39">
    <w:abstractNumId w:val="39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3EC2"/>
    <w:rsid w:val="00497251"/>
    <w:rsid w:val="004B0068"/>
    <w:rsid w:val="004C1A3F"/>
    <w:rsid w:val="004E243F"/>
    <w:rsid w:val="004E2E51"/>
    <w:rsid w:val="004F5662"/>
    <w:rsid w:val="00522919"/>
    <w:rsid w:val="00563D99"/>
    <w:rsid w:val="00565906"/>
    <w:rsid w:val="00566A61"/>
    <w:rsid w:val="005B5702"/>
    <w:rsid w:val="005C0C23"/>
    <w:rsid w:val="0060053F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92E98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B4E03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3EF3B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2021-04-11T23:00:00+00:00</DataDocumento>
    <IDFase xmlns="2e97e158-1a31-4bff-9a0a-f8ebffd34ea8">0</IDFase>
    <IDIniciativa xmlns="2e97e158-1a31-4bff-9a0a-f8ebffd34ea8">110663</IDIniciativa>
    <TipoDocumento xmlns="2e97e158-1a31-4bff-9a0a-f8ebffd34ea8">Texto</TipoDocumento>
    <NomeOriginalFicheiro xmlns="2e97e158-1a31-4bff-9a0a-f8ebffd34ea8">pjl792-XIV.docx</NomeOriginalFicheiro>
    <NROrdem xmlns="2e97e158-1a31-4bff-9a0a-f8ebffd34ea8">1</NROrdem>
    <PublicarInternet xmlns="2e97e158-1a31-4bff-9a0a-f8ebffd34ea8">true</PublicarInternet>
    <NRIniciativa xmlns="2e97e158-1a31-4bff-9a0a-f8ebffd34ea8">792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313CA512-B64B-47DC-87E0-60CF92144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8462A-D2EC-440E-B033-83B1236B3210}"/>
</file>

<file path=customXml/itemProps3.xml><?xml version="1.0" encoding="utf-8"?>
<ds:datastoreItem xmlns:ds="http://schemas.openxmlformats.org/officeDocument/2006/customXml" ds:itemID="{1BA842D6-72FA-4A0F-9982-A20A6A54A0EB}"/>
</file>

<file path=customXml/itemProps4.xml><?xml version="1.0" encoding="utf-8"?>
<ds:datastoreItem xmlns:ds="http://schemas.openxmlformats.org/officeDocument/2006/customXml" ds:itemID="{88BC4B5B-BDAC-488F-B32C-DAFD8CE31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5529</Characters>
  <Application>Microsoft Office Word</Application>
  <DocSecurity>4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subject/>
  <dc:creator>ac</dc:creator>
  <cp:keywords/>
  <dc:description/>
  <cp:lastModifiedBy>Teresa Lamas</cp:lastModifiedBy>
  <cp:revision>2</cp:revision>
  <cp:lastPrinted>2019-11-29T11:10:00Z</cp:lastPrinted>
  <dcterms:created xsi:type="dcterms:W3CDTF">2021-04-12T09:46:00Z</dcterms:created>
  <dcterms:modified xsi:type="dcterms:W3CDTF">2021-04-12T09:46:00Z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530500</vt:r8>
  </property>
</Properties>
</file>