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2A" w:rsidRPr="00A8612B" w:rsidRDefault="00C36D2A" w:rsidP="00D1606E">
      <w:pPr>
        <w:pStyle w:val="SemEspaamento"/>
        <w:spacing w:after="24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8612B">
        <w:rPr>
          <w:rFonts w:asciiTheme="minorHAnsi" w:hAnsiTheme="minorHAnsi" w:cstheme="minorHAnsi"/>
          <w:b/>
        </w:rPr>
        <w:t>Projeto de Lei n.º</w:t>
      </w:r>
      <w:r w:rsidR="00794B5B">
        <w:rPr>
          <w:rFonts w:asciiTheme="minorHAnsi" w:hAnsiTheme="minorHAnsi" w:cstheme="minorHAnsi"/>
          <w:b/>
        </w:rPr>
        <w:t xml:space="preserve"> 503</w:t>
      </w:r>
      <w:r w:rsidRPr="00A8612B">
        <w:rPr>
          <w:rFonts w:asciiTheme="minorHAnsi" w:hAnsiTheme="minorHAnsi" w:cstheme="minorHAnsi"/>
          <w:b/>
        </w:rPr>
        <w:t>/XI</w:t>
      </w:r>
      <w:r w:rsidR="00D1606E">
        <w:rPr>
          <w:rFonts w:asciiTheme="minorHAnsi" w:hAnsiTheme="minorHAnsi" w:cstheme="minorHAnsi"/>
          <w:b/>
        </w:rPr>
        <w:t>V</w:t>
      </w:r>
      <w:r w:rsidRPr="00A8612B">
        <w:rPr>
          <w:rFonts w:asciiTheme="minorHAnsi" w:hAnsiTheme="minorHAnsi" w:cstheme="minorHAnsi"/>
          <w:b/>
        </w:rPr>
        <w:t>/</w:t>
      </w:r>
      <w:r w:rsidR="00D1606E">
        <w:rPr>
          <w:rFonts w:asciiTheme="minorHAnsi" w:hAnsiTheme="minorHAnsi" w:cstheme="minorHAnsi"/>
          <w:b/>
        </w:rPr>
        <w:t>1.ª</w:t>
      </w:r>
    </w:p>
    <w:p w:rsidR="00C36D2A" w:rsidRPr="00D1606E" w:rsidRDefault="00C36D2A" w:rsidP="00D1606E">
      <w:pPr>
        <w:pStyle w:val="SemEspaamento"/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A8612B">
        <w:rPr>
          <w:rFonts w:asciiTheme="minorHAnsi" w:hAnsiTheme="minorHAnsi" w:cstheme="minorHAnsi"/>
          <w:b/>
        </w:rPr>
        <w:t xml:space="preserve">Defende e reforça os direitos dos trabalhadores em caso de </w:t>
      </w:r>
      <w:r w:rsidRPr="00D1606E">
        <w:rPr>
          <w:rFonts w:asciiTheme="minorHAnsi" w:hAnsiTheme="minorHAnsi" w:cstheme="minorHAnsi"/>
          <w:b/>
        </w:rPr>
        <w:t>transmissão de</w:t>
      </w:r>
      <w:r w:rsidR="000177B3" w:rsidRPr="00D1606E">
        <w:rPr>
          <w:rFonts w:asciiTheme="minorHAnsi" w:hAnsiTheme="minorHAnsi" w:cstheme="minorHAnsi"/>
          <w:b/>
        </w:rPr>
        <w:t xml:space="preserve"> empresa ou</w:t>
      </w:r>
      <w:r w:rsidRPr="00D1606E">
        <w:rPr>
          <w:rFonts w:asciiTheme="minorHAnsi" w:hAnsiTheme="minorHAnsi" w:cstheme="minorHAnsi"/>
          <w:b/>
        </w:rPr>
        <w:t xml:space="preserve"> estabelecimento</w:t>
      </w:r>
      <w:r w:rsidR="005A5E28" w:rsidRPr="00D1606E">
        <w:rPr>
          <w:rFonts w:asciiTheme="minorHAnsi" w:hAnsiTheme="minorHAnsi" w:cstheme="minorHAnsi"/>
          <w:b/>
        </w:rPr>
        <w:t>,</w:t>
      </w:r>
      <w:r w:rsidR="000177B3" w:rsidRPr="00D1606E">
        <w:rPr>
          <w:rFonts w:asciiTheme="minorHAnsi" w:hAnsiTheme="minorHAnsi" w:cstheme="minorHAnsi"/>
          <w:b/>
          <w:bCs/>
        </w:rPr>
        <w:t xml:space="preserve"> </w:t>
      </w:r>
      <w:r w:rsidR="005A5E28" w:rsidRPr="00D1606E">
        <w:rPr>
          <w:rFonts w:asciiTheme="minorHAnsi" w:hAnsiTheme="minorHAnsi" w:cstheme="minorHAnsi"/>
          <w:b/>
          <w:bCs/>
        </w:rPr>
        <w:t xml:space="preserve">no setor privado ou no setor público, </w:t>
      </w:r>
      <w:r w:rsidR="000177B3" w:rsidRPr="00D1606E">
        <w:rPr>
          <w:rFonts w:asciiTheme="minorHAnsi" w:hAnsiTheme="minorHAnsi" w:cstheme="minorHAnsi"/>
          <w:b/>
          <w:bCs/>
        </w:rPr>
        <w:t>por adjudicação de fornecimento de serviços que se concretize por concurso público, ajuste direto ou qualquer outro meio previsto</w:t>
      </w:r>
    </w:p>
    <w:p w:rsidR="00A8612B" w:rsidRPr="00A8612B" w:rsidRDefault="00A8612B" w:rsidP="00D1606E">
      <w:pPr>
        <w:spacing w:after="240" w:line="360" w:lineRule="auto"/>
        <w:jc w:val="both"/>
        <w:rPr>
          <w:rFonts w:eastAsia="Times New Roman" w:cstheme="minorHAnsi"/>
        </w:rPr>
      </w:pPr>
      <w:r w:rsidRPr="00A8612B">
        <w:rPr>
          <w:rFonts w:eastAsia="Times New Roman" w:cstheme="minorHAnsi"/>
        </w:rPr>
        <w:t xml:space="preserve">O quadro legal existente relativo à transmissão de empresa e estabelecimento resulta em grande parte da transposição das Diretivas 77/187/CEE, de 14 de </w:t>
      </w:r>
      <w:proofErr w:type="gramStart"/>
      <w:r w:rsidRPr="00A8612B">
        <w:rPr>
          <w:rFonts w:eastAsia="Times New Roman" w:cstheme="minorHAnsi"/>
        </w:rPr>
        <w:t>Fevereiro</w:t>
      </w:r>
      <w:proofErr w:type="gramEnd"/>
      <w:r w:rsidRPr="00A8612B">
        <w:rPr>
          <w:rFonts w:eastAsia="Times New Roman" w:cstheme="minorHAnsi"/>
        </w:rPr>
        <w:t>, e 98/50/CE do Conselho, de 29 de junho, realizada com a aprovação das normas do Código do Trabalho que vieram suceder ao artigo 37.º da Lei do Contrato de Trabalho, aprovada pelo Decreto 49 408, de 24 de Novembro de 1969.</w:t>
      </w:r>
    </w:p>
    <w:p w:rsidR="00A8612B" w:rsidRPr="00A8612B" w:rsidRDefault="00A8612B" w:rsidP="00D1606E">
      <w:pPr>
        <w:spacing w:after="240" w:line="360" w:lineRule="auto"/>
        <w:jc w:val="both"/>
        <w:rPr>
          <w:rFonts w:eastAsia="Times New Roman" w:cstheme="minorHAnsi"/>
        </w:rPr>
      </w:pPr>
      <w:r w:rsidRPr="00A8612B">
        <w:rPr>
          <w:rFonts w:eastAsia="Times New Roman" w:cstheme="minorHAnsi"/>
        </w:rPr>
        <w:t>Apesar de se destinarem a enquadrar e facilitar os processos de fusões e aquisições de empresas e de não assegurarem integralmente os direitos dos trabalhadores, aquelas Diretivas estabeleceram algumas condições que convergem com os interesses dos trabalhadores, designadamente a obrigação de, tanto o cedente como o cessionário, informarem e consultarem os representantes dos trabalhadores.</w:t>
      </w:r>
    </w:p>
    <w:p w:rsidR="00A8612B" w:rsidRPr="00A8612B" w:rsidRDefault="00A8612B" w:rsidP="00D1606E">
      <w:pPr>
        <w:spacing w:after="240" w:line="360" w:lineRule="auto"/>
        <w:jc w:val="both"/>
        <w:rPr>
          <w:rFonts w:eastAsia="Times New Roman" w:cstheme="minorHAnsi"/>
        </w:rPr>
      </w:pPr>
      <w:r w:rsidRPr="00A8612B">
        <w:rPr>
          <w:rFonts w:eastAsia="Times New Roman" w:cstheme="minorHAnsi"/>
        </w:rPr>
        <w:t>A realidade, no entanto, tem confirmado que, no âmbito destes processos, nem esses direitos são respeitados, havendo mesmo utilização fraudulenta do mecanismo da transmissão da empresa e do estabelecimento – e bem assim da lei – para alcançar objetivos de fragilização dos trabalhadores e violação dos seus direitos, justificar operações de externalização (outsourcing) e/ou de trabalho temporário “encapotado”, desrespeitar direitos adquiridos e não aplicar Instrumentos de Regulamentação Coletiva de Trabalho existentes, fazendo deste mecanismo uma verdadeira antecâmara de despedimento de trabalhadores.</w:t>
      </w:r>
    </w:p>
    <w:p w:rsidR="00A8612B" w:rsidRDefault="00A8612B" w:rsidP="00D1606E">
      <w:pPr>
        <w:spacing w:after="240" w:line="360" w:lineRule="auto"/>
        <w:jc w:val="both"/>
        <w:rPr>
          <w:rFonts w:eastAsia="Times New Roman" w:cstheme="minorHAnsi"/>
        </w:rPr>
      </w:pPr>
      <w:r w:rsidRPr="00A8612B">
        <w:rPr>
          <w:rFonts w:eastAsia="Times New Roman" w:cstheme="minorHAnsi"/>
        </w:rPr>
        <w:t xml:space="preserve">São vários os sectores nos quais as entidades patronais ignoram e/ou atropelam o que está legalmente previsto. </w:t>
      </w:r>
    </w:p>
    <w:p w:rsidR="00A8612B" w:rsidRDefault="00A8612B" w:rsidP="00D1606E">
      <w:pPr>
        <w:spacing w:after="240" w:line="360" w:lineRule="auto"/>
        <w:jc w:val="both"/>
        <w:rPr>
          <w:rFonts w:eastAsia="Times New Roman" w:cstheme="minorHAnsi"/>
        </w:rPr>
      </w:pPr>
      <w:r w:rsidRPr="00A8612B">
        <w:rPr>
          <w:rFonts w:eastAsia="Times New Roman" w:cstheme="minorHAnsi"/>
        </w:rPr>
        <w:t>Os sectores da vigilância, limpeza, alimentação são dos que têm tido inúmeras situações em que os seus trabalhadores perdem direitos e mesmo o posto de trabalho em situações de substituição de uma empresa prestadora de serviços por outra, não obstante também se verificarem situações desta natureza na indústria, comércio e serviços e outros sectores de atividade.</w:t>
      </w:r>
    </w:p>
    <w:p w:rsidR="00A8612B" w:rsidRPr="00A8612B" w:rsidRDefault="00A8612B" w:rsidP="00D1606E">
      <w:pPr>
        <w:spacing w:after="240" w:line="360" w:lineRule="auto"/>
        <w:jc w:val="both"/>
        <w:rPr>
          <w:rFonts w:eastAsia="Times New Roman" w:cstheme="minorHAnsi"/>
        </w:rPr>
      </w:pPr>
      <w:r w:rsidRPr="00A8612B">
        <w:rPr>
          <w:rFonts w:cstheme="minorHAnsi"/>
          <w:color w:val="333333"/>
        </w:rPr>
        <w:t xml:space="preserve">O PCP defende que os trabalhadores têm direito à transmissão de estabelecimento (como prevê o artigo 285.º do Código do Trabalho), mantendo todos os direitos contratuais adquiridos, nomeadamente a </w:t>
      </w:r>
      <w:r w:rsidRPr="00A8612B">
        <w:rPr>
          <w:rFonts w:cstheme="minorHAnsi"/>
          <w:color w:val="333333"/>
        </w:rPr>
        <w:lastRenderedPageBreak/>
        <w:t>antiguidade. O que tem sido feito a muitos trabalhadores, com especial destaque para os do sector da vigilância e limpeza, é o atropelo de direitos, num processo marcado por pressões e chantagens por parte das entidades patronais. Importa, assim, reforçar os direitos destes e de outros trabalhadores que se encontram em situação de transmissão de estabelecimento. </w:t>
      </w:r>
    </w:p>
    <w:p w:rsidR="00A8612B" w:rsidRPr="00A8612B" w:rsidRDefault="00A8612B" w:rsidP="00D1606E">
      <w:pPr>
        <w:pStyle w:val="NormalWeb"/>
        <w:spacing w:after="240" w:afterAutospacing="0" w:line="360" w:lineRule="auto"/>
        <w:jc w:val="both"/>
        <w:rPr>
          <w:rFonts w:asciiTheme="minorHAnsi" w:hAnsiTheme="minorHAnsi" w:cstheme="minorHAnsi"/>
          <w:color w:val="333333"/>
        </w:rPr>
      </w:pPr>
      <w:r w:rsidRPr="00A8612B">
        <w:rPr>
          <w:rFonts w:asciiTheme="minorHAnsi" w:hAnsiTheme="minorHAnsi" w:cstheme="minorHAnsi"/>
          <w:color w:val="333333"/>
        </w:rPr>
        <w:t>Simultaneamente não podemos deixar de assinalar que há uma problema de fundo que se prende com a generalização do recurso a empresas prestadoras de serviços, nomeadamente pelo estado, ao que acresce o problema dos valores contratualizados com as empresas, na forma como se renovam as prestações de serviço, além do critério escolhido ser o do “preço mais baixo”. Sem prejuízo da resolução deste problema de fundo, importa sim garantir que seja cumprida a legislação no âmbito da transmissão de estabelecimento e que os direitos dos trabalhadores sejam devidamente salvaguardados e defendidos.</w:t>
      </w:r>
    </w:p>
    <w:p w:rsidR="00C36D2A" w:rsidRPr="00A8612B" w:rsidRDefault="00A8612B" w:rsidP="00D1606E">
      <w:pPr>
        <w:pStyle w:val="SemEspaamento"/>
        <w:spacing w:after="240" w:line="360" w:lineRule="auto"/>
        <w:jc w:val="both"/>
        <w:rPr>
          <w:rFonts w:asciiTheme="minorHAnsi" w:hAnsiTheme="minorHAnsi" w:cstheme="minorHAnsi"/>
        </w:rPr>
      </w:pPr>
      <w:r w:rsidRPr="00A8612B">
        <w:rPr>
          <w:rFonts w:asciiTheme="minorHAnsi" w:hAnsiTheme="minorHAnsi" w:cstheme="minorHAnsi"/>
          <w:color w:val="333333"/>
        </w:rPr>
        <w:t xml:space="preserve">É neste sentido que o PCP apresenta esta iniciativa, para garantir que todos os trabalhadores de todos os sectores de </w:t>
      </w:r>
      <w:r w:rsidR="000A6BD4" w:rsidRPr="00A8612B">
        <w:rPr>
          <w:rFonts w:asciiTheme="minorHAnsi" w:hAnsiTheme="minorHAnsi" w:cstheme="minorHAnsi"/>
          <w:color w:val="333333"/>
        </w:rPr>
        <w:t>ativ</w:t>
      </w:r>
      <w:r w:rsidR="000A6BD4">
        <w:rPr>
          <w:rFonts w:asciiTheme="minorHAnsi" w:hAnsiTheme="minorHAnsi" w:cstheme="minorHAnsi"/>
          <w:color w:val="333333"/>
        </w:rPr>
        <w:t>idade</w:t>
      </w:r>
      <w:r w:rsidRPr="00A8612B">
        <w:rPr>
          <w:rFonts w:asciiTheme="minorHAnsi" w:hAnsiTheme="minorHAnsi" w:cstheme="minorHAnsi"/>
          <w:color w:val="333333"/>
        </w:rPr>
        <w:t xml:space="preserve">, tanto no público como no privado, tenham todos os seus direitos reforçados, sem prejuízo de, no caso de instrumentos de contratação </w:t>
      </w:r>
      <w:r w:rsidR="000A6BD4" w:rsidRPr="00A8612B">
        <w:rPr>
          <w:rFonts w:asciiTheme="minorHAnsi" w:hAnsiTheme="minorHAnsi" w:cstheme="minorHAnsi"/>
          <w:color w:val="333333"/>
        </w:rPr>
        <w:t>coletiva</w:t>
      </w:r>
      <w:r w:rsidRPr="00A8612B">
        <w:rPr>
          <w:rFonts w:asciiTheme="minorHAnsi" w:hAnsiTheme="minorHAnsi" w:cstheme="minorHAnsi"/>
          <w:color w:val="333333"/>
        </w:rPr>
        <w:t xml:space="preserve"> mais favoráveis serem estes os aplicados</w:t>
      </w:r>
    </w:p>
    <w:p w:rsidR="00D07E6A" w:rsidRDefault="00C36D2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Nestes termos e ao abrigo da alínea b), do artigo 156.º da Constituição da República</w:t>
      </w:r>
      <w:r w:rsidR="00A8612B">
        <w:rPr>
          <w:rFonts w:cstheme="minorHAnsi"/>
          <w:b/>
          <w:bCs/>
        </w:rPr>
        <w:t xml:space="preserve"> </w:t>
      </w:r>
      <w:r w:rsidRPr="00A8612B">
        <w:rPr>
          <w:rFonts w:cstheme="minorHAnsi"/>
          <w:b/>
          <w:bCs/>
        </w:rPr>
        <w:t>Portuguesa e da alínea b) do n.º 1 do artigo 4.º do Regimento da Assembleia da República, os Deputados abaixo assinados do Grupo Parlamentar do PCP apresentam o seguinte Projeto de Lei:</w:t>
      </w:r>
    </w:p>
    <w:p w:rsidR="00D1606E" w:rsidRPr="000A6BD4" w:rsidRDefault="00D1606E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</w:rPr>
      </w:pPr>
    </w:p>
    <w:p w:rsidR="00C36D2A" w:rsidRPr="00A8612B" w:rsidRDefault="00C36D2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Artigo 1.º</w:t>
      </w:r>
    </w:p>
    <w:p w:rsidR="00C36D2A" w:rsidRPr="00A8612B" w:rsidRDefault="00C36D2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Objeto</w:t>
      </w:r>
    </w:p>
    <w:p w:rsidR="003A5CB8" w:rsidRPr="003A5CB8" w:rsidRDefault="00C36D2A" w:rsidP="003A5CB8">
      <w:pPr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 xml:space="preserve">Com vista a salvaguardar os direitos dos trabalhadores em situações de transmissão de </w:t>
      </w:r>
      <w:r w:rsidR="000177B3" w:rsidRPr="00A8612B">
        <w:rPr>
          <w:rFonts w:cstheme="minorHAnsi"/>
        </w:rPr>
        <w:t xml:space="preserve">empresa ou </w:t>
      </w:r>
      <w:r w:rsidRPr="00A8612B">
        <w:rPr>
          <w:rFonts w:cstheme="minorHAnsi"/>
        </w:rPr>
        <w:t>estabelecimento</w:t>
      </w:r>
      <w:r w:rsidR="004F312B" w:rsidRPr="00A8612B">
        <w:rPr>
          <w:rFonts w:cstheme="minorHAnsi"/>
        </w:rPr>
        <w:t>, no sector privado e no sector público</w:t>
      </w:r>
      <w:r w:rsidR="000177B3" w:rsidRPr="00A8612B">
        <w:rPr>
          <w:rFonts w:cstheme="minorHAnsi"/>
        </w:rPr>
        <w:t>, por adjudicação de fornecimento de serviços</w:t>
      </w:r>
      <w:r w:rsidR="004F312B" w:rsidRPr="00A8612B">
        <w:rPr>
          <w:rFonts w:cstheme="minorHAnsi"/>
        </w:rPr>
        <w:t xml:space="preserve"> por concurso público, ajuste direto ou qualquer outro meio previsto</w:t>
      </w:r>
      <w:r w:rsidRPr="00A8612B">
        <w:rPr>
          <w:rFonts w:cstheme="minorHAnsi"/>
        </w:rPr>
        <w:t>, a presente lei altera o disposto nos artigos 285.º da Lei n.º 7/2009, de 12 de Fevereiro e posteriores alterações, reforçando a garantia da manutenção dos direitos adquiridos dos trabalhadores em caso de transmissão de estabelecimento</w:t>
      </w:r>
      <w:r w:rsidR="004F312B" w:rsidRPr="00A8612B">
        <w:rPr>
          <w:rFonts w:cstheme="minorHAnsi"/>
        </w:rPr>
        <w:t>.</w:t>
      </w:r>
    </w:p>
    <w:p w:rsidR="00C36D2A" w:rsidRPr="00A8612B" w:rsidRDefault="00C36D2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lastRenderedPageBreak/>
        <w:t>Artigo 2.º</w:t>
      </w:r>
    </w:p>
    <w:p w:rsidR="00C36D2A" w:rsidRPr="00A8612B" w:rsidRDefault="00C36D2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 xml:space="preserve">Alteração à Lei n.º 7/2009, de 14 de </w:t>
      </w:r>
      <w:proofErr w:type="gramStart"/>
      <w:r w:rsidRPr="00A8612B">
        <w:rPr>
          <w:rFonts w:cstheme="minorHAnsi"/>
          <w:b/>
          <w:bCs/>
        </w:rPr>
        <w:t>Setembro</w:t>
      </w:r>
      <w:proofErr w:type="gramEnd"/>
    </w:p>
    <w:p w:rsidR="00C36D2A" w:rsidRDefault="00C36D2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O artigo 285.º do Código do Trabalho, aprovado pela Lei n.º 7/2009, de 12 de Fevereiro</w:t>
      </w:r>
      <w:r w:rsidR="00D07E6A" w:rsidRPr="00A8612B">
        <w:rPr>
          <w:rFonts w:cstheme="minorHAnsi"/>
        </w:rPr>
        <w:t>, alterada pela Lei n.º 105/2009, de 14 de setembro; Lei n.º 53/2011, de 14 de outubro; Lei n.º 23/2012, de 25 de junho; Lei n.º 47/2012, de 29 de agosto; Lei n.º 69/2013, de 30 de agosto; Lei n.º 27/2014, de 08 de maio; Lei n.º 55/2014, de 25 de agosto; Lei n.º 28/2015, de 14 de abril; Lei n.º 120/2015, de 01 de setembro; Lei n.º 8/2016, de 01 de abril; Lei n.º 28/2016, de 23 de agosto; Lei n.º 73/2017, de 16 de agosto; Lei n.º 14/2018, de 19 de março; Lei n.º 90/2019, de 04 de setembro e Lei n.º 93/2019, de 04 de setembro</w:t>
      </w:r>
      <w:r w:rsidRPr="00A8612B">
        <w:rPr>
          <w:rFonts w:cstheme="minorHAnsi"/>
        </w:rPr>
        <w:t>, pass</w:t>
      </w:r>
      <w:r w:rsidR="00D07E6A" w:rsidRPr="00A8612B">
        <w:rPr>
          <w:rFonts w:cstheme="minorHAnsi"/>
        </w:rPr>
        <w:t>a</w:t>
      </w:r>
      <w:r w:rsidRPr="00A8612B">
        <w:rPr>
          <w:rFonts w:cstheme="minorHAnsi"/>
        </w:rPr>
        <w:t xml:space="preserve"> a ter a seguinte redação:</w:t>
      </w:r>
    </w:p>
    <w:p w:rsidR="003A5CB8" w:rsidRPr="00A8612B" w:rsidRDefault="003A5CB8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</w:p>
    <w:p w:rsidR="00C36D2A" w:rsidRPr="00A8612B" w:rsidRDefault="00C36D2A" w:rsidP="00D1606E">
      <w:pPr>
        <w:spacing w:after="240" w:line="360" w:lineRule="auto"/>
        <w:jc w:val="center"/>
        <w:rPr>
          <w:rFonts w:cstheme="minorHAnsi"/>
        </w:rPr>
      </w:pPr>
      <w:r w:rsidRPr="00A8612B">
        <w:rPr>
          <w:rFonts w:cstheme="minorHAnsi"/>
        </w:rPr>
        <w:t>«CAPÍTULO V</w:t>
      </w:r>
    </w:p>
    <w:p w:rsidR="00C36D2A" w:rsidRPr="00A8612B" w:rsidRDefault="00C36D2A" w:rsidP="00D1606E">
      <w:pPr>
        <w:spacing w:after="240" w:line="360" w:lineRule="auto"/>
        <w:jc w:val="center"/>
        <w:rPr>
          <w:rFonts w:cstheme="minorHAnsi"/>
        </w:rPr>
      </w:pPr>
      <w:r w:rsidRPr="00A8612B">
        <w:rPr>
          <w:rFonts w:cstheme="minorHAnsi"/>
        </w:rPr>
        <w:t>Vicissitudes contratuais</w:t>
      </w:r>
    </w:p>
    <w:p w:rsidR="00C36D2A" w:rsidRPr="00A8612B" w:rsidRDefault="00C36D2A" w:rsidP="00D1606E">
      <w:pPr>
        <w:spacing w:after="240" w:line="360" w:lineRule="auto"/>
        <w:jc w:val="center"/>
        <w:rPr>
          <w:rFonts w:cstheme="minorHAnsi"/>
        </w:rPr>
      </w:pPr>
      <w:r w:rsidRPr="00A8612B">
        <w:rPr>
          <w:rFonts w:cstheme="minorHAnsi"/>
        </w:rPr>
        <w:t>SECÇÃO I</w:t>
      </w:r>
    </w:p>
    <w:p w:rsidR="00A8612B" w:rsidRPr="000A6BD4" w:rsidRDefault="00C36D2A" w:rsidP="00D1606E">
      <w:pPr>
        <w:spacing w:after="240" w:line="360" w:lineRule="auto"/>
        <w:jc w:val="center"/>
        <w:rPr>
          <w:rFonts w:cstheme="minorHAnsi"/>
        </w:rPr>
      </w:pPr>
      <w:r w:rsidRPr="00A8612B">
        <w:rPr>
          <w:rFonts w:cstheme="minorHAnsi"/>
        </w:rPr>
        <w:t>Transmissão de empresa ou estabelecimento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Artigo 285.º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Efeitos de transmissão de empresa ou estabelecimento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1 - (…).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2 - (…).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3 - [novo] Aplica-se ainda o disposto na presente secção, a todas as situações de transmissão de empresa ou estabelecimento p</w:t>
      </w:r>
      <w:r w:rsidR="000177B3" w:rsidRPr="00A8612B">
        <w:rPr>
          <w:rFonts w:cstheme="minorHAnsi"/>
          <w:b/>
          <w:bCs/>
        </w:rPr>
        <w:t>or</w:t>
      </w:r>
      <w:r w:rsidRPr="00A8612B">
        <w:rPr>
          <w:rFonts w:cstheme="minorHAnsi"/>
          <w:b/>
          <w:bCs/>
        </w:rPr>
        <w:t xml:space="preserve"> adjudicação de fornecimento de serviços que se concretize por concurso público, ajuste direto ou qualquer outro meio previsto, seja no setor privado ou no setor público.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4 - (anterior n.º 3).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lastRenderedPageBreak/>
        <w:t>5 - (anterior n.º 4).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6 - (anterior n.º 5).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7 - (anterior n.º 6).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8 - (anterior n.º 7).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9 - (anterior n.º 8).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10 - (anterior n.º 9).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11 - (anterior n.º 10).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12 - (anterior n.º 11).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 xml:space="preserve">13 - Constitui contraordenação grave a violação do disposto nos </w:t>
      </w:r>
      <w:proofErr w:type="spellStart"/>
      <w:proofErr w:type="gramStart"/>
      <w:r w:rsidRPr="00A8612B">
        <w:rPr>
          <w:rFonts w:cstheme="minorHAnsi"/>
          <w:b/>
          <w:bCs/>
        </w:rPr>
        <w:t>n.os</w:t>
      </w:r>
      <w:proofErr w:type="spellEnd"/>
      <w:proofErr w:type="gramEnd"/>
      <w:r w:rsidRPr="00A8612B">
        <w:rPr>
          <w:rFonts w:cstheme="minorHAnsi"/>
          <w:b/>
          <w:bCs/>
        </w:rPr>
        <w:t xml:space="preserve"> 8, 9 ou 10.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 xml:space="preserve">14 - [novo] Aos trabalhadores </w:t>
      </w:r>
      <w:r w:rsidR="000177B3" w:rsidRPr="00A8612B">
        <w:rPr>
          <w:rFonts w:cstheme="minorHAnsi"/>
          <w:b/>
          <w:bCs/>
        </w:rPr>
        <w:t xml:space="preserve">das empresas ou estabelecimentos </w:t>
      </w:r>
      <w:r w:rsidRPr="00A8612B">
        <w:rPr>
          <w:rFonts w:cstheme="minorHAnsi"/>
          <w:b/>
          <w:bCs/>
        </w:rPr>
        <w:t xml:space="preserve">transmitidos </w:t>
      </w:r>
      <w:r w:rsidR="000177B3" w:rsidRPr="00A8612B">
        <w:rPr>
          <w:rFonts w:cstheme="minorHAnsi"/>
          <w:b/>
          <w:bCs/>
        </w:rPr>
        <w:t>ao abrigo</w:t>
      </w:r>
      <w:r w:rsidRPr="00A8612B">
        <w:rPr>
          <w:rFonts w:cstheme="minorHAnsi"/>
          <w:b/>
          <w:bCs/>
        </w:rPr>
        <w:t xml:space="preserve"> presente artigo, continuam a aplicar-se os Instrumentos de Regulamentação Coletiva de Trabalho em vigor à data da transmissão.</w:t>
      </w:r>
    </w:p>
    <w:p w:rsidR="00C36D2A" w:rsidRPr="00A8612B" w:rsidRDefault="00D07E6A" w:rsidP="00D1606E">
      <w:pPr>
        <w:autoSpaceDE w:val="0"/>
        <w:autoSpaceDN w:val="0"/>
        <w:adjustRightInd w:val="0"/>
        <w:spacing w:after="240" w:line="360" w:lineRule="auto"/>
        <w:jc w:val="both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 xml:space="preserve">15 - [novo] O disposto no presente artigo pode ser afastado por </w:t>
      </w:r>
      <w:r w:rsidR="000177B3" w:rsidRPr="00A8612B">
        <w:rPr>
          <w:rFonts w:cstheme="minorHAnsi"/>
          <w:b/>
          <w:bCs/>
        </w:rPr>
        <w:t>I</w:t>
      </w:r>
      <w:r w:rsidRPr="00A8612B">
        <w:rPr>
          <w:rFonts w:cstheme="minorHAnsi"/>
          <w:b/>
          <w:bCs/>
        </w:rPr>
        <w:t xml:space="preserve">nstrumento de </w:t>
      </w:r>
      <w:r w:rsidR="000177B3" w:rsidRPr="00A8612B">
        <w:rPr>
          <w:rFonts w:cstheme="minorHAnsi"/>
          <w:b/>
          <w:bCs/>
        </w:rPr>
        <w:t>R</w:t>
      </w:r>
      <w:r w:rsidRPr="00A8612B">
        <w:rPr>
          <w:rFonts w:cstheme="minorHAnsi"/>
          <w:b/>
          <w:bCs/>
        </w:rPr>
        <w:t xml:space="preserve">egulamentação </w:t>
      </w:r>
      <w:r w:rsidR="000177B3" w:rsidRPr="00A8612B">
        <w:rPr>
          <w:rFonts w:cstheme="minorHAnsi"/>
          <w:b/>
          <w:bCs/>
        </w:rPr>
        <w:t>C</w:t>
      </w:r>
      <w:r w:rsidRPr="00A8612B">
        <w:rPr>
          <w:rFonts w:cstheme="minorHAnsi"/>
          <w:b/>
          <w:bCs/>
        </w:rPr>
        <w:t xml:space="preserve">oletiva de </w:t>
      </w:r>
      <w:r w:rsidR="000177B3" w:rsidRPr="00A8612B">
        <w:rPr>
          <w:rFonts w:cstheme="minorHAnsi"/>
          <w:b/>
          <w:bCs/>
        </w:rPr>
        <w:t>T</w:t>
      </w:r>
      <w:r w:rsidRPr="00A8612B">
        <w:rPr>
          <w:rFonts w:cstheme="minorHAnsi"/>
          <w:b/>
          <w:bCs/>
        </w:rPr>
        <w:t>rabalho quando este estabeleça condições mais favoráveis para o trabalhador.</w:t>
      </w:r>
    </w:p>
    <w:p w:rsidR="00D07E6A" w:rsidRPr="00A8612B" w:rsidRDefault="00D07E6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</w:p>
    <w:p w:rsidR="00C36D2A" w:rsidRPr="00A8612B" w:rsidRDefault="00C36D2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Artigo 3.º</w:t>
      </w:r>
    </w:p>
    <w:p w:rsidR="00C36D2A" w:rsidRPr="00A8612B" w:rsidRDefault="00C36D2A" w:rsidP="00D1606E">
      <w:pPr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bCs/>
        </w:rPr>
      </w:pPr>
      <w:r w:rsidRPr="00A8612B">
        <w:rPr>
          <w:rFonts w:cstheme="minorHAnsi"/>
          <w:b/>
          <w:bCs/>
        </w:rPr>
        <w:t>Entrada em vigor</w:t>
      </w:r>
    </w:p>
    <w:p w:rsidR="00D07E6A" w:rsidRPr="00A8612B" w:rsidRDefault="00C36D2A" w:rsidP="00D1606E">
      <w:pPr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A presente lei entra em vigor</w:t>
      </w:r>
      <w:r w:rsidR="000177B3" w:rsidRPr="00A8612B">
        <w:rPr>
          <w:rFonts w:cstheme="minorHAnsi"/>
        </w:rPr>
        <w:t xml:space="preserve"> no dia seguinte à</w:t>
      </w:r>
      <w:r w:rsidRPr="00A8612B">
        <w:rPr>
          <w:rFonts w:cstheme="minorHAnsi"/>
        </w:rPr>
        <w:t xml:space="preserve"> sua publicação.</w:t>
      </w:r>
    </w:p>
    <w:p w:rsidR="00A8612B" w:rsidRDefault="00A8612B" w:rsidP="00D1606E">
      <w:pPr>
        <w:spacing w:after="240" w:line="360" w:lineRule="auto"/>
        <w:jc w:val="both"/>
        <w:rPr>
          <w:rFonts w:cstheme="minorHAnsi"/>
        </w:rPr>
      </w:pPr>
    </w:p>
    <w:p w:rsidR="00D07E6A" w:rsidRPr="00A8612B" w:rsidRDefault="00D07E6A" w:rsidP="00D1606E">
      <w:pPr>
        <w:spacing w:after="240" w:line="360" w:lineRule="auto"/>
        <w:jc w:val="both"/>
        <w:rPr>
          <w:rFonts w:cstheme="minorHAnsi"/>
        </w:rPr>
      </w:pPr>
      <w:r w:rsidRPr="00A8612B">
        <w:rPr>
          <w:rFonts w:cstheme="minorHAnsi"/>
        </w:rPr>
        <w:t>Assembleia da República, 11 de setembro de 2020</w:t>
      </w:r>
    </w:p>
    <w:p w:rsidR="00D07E6A" w:rsidRPr="00A8612B" w:rsidRDefault="00D07E6A" w:rsidP="00D1606E">
      <w:pPr>
        <w:spacing w:after="240" w:line="360" w:lineRule="auto"/>
        <w:jc w:val="center"/>
        <w:rPr>
          <w:rFonts w:cstheme="minorHAnsi"/>
        </w:rPr>
      </w:pPr>
    </w:p>
    <w:p w:rsidR="00D07E6A" w:rsidRDefault="00D07E6A" w:rsidP="00D1606E">
      <w:pPr>
        <w:spacing w:after="240" w:line="360" w:lineRule="auto"/>
        <w:jc w:val="center"/>
        <w:rPr>
          <w:rFonts w:cstheme="minorHAnsi"/>
        </w:rPr>
      </w:pPr>
      <w:r w:rsidRPr="00A8612B">
        <w:rPr>
          <w:rFonts w:cstheme="minorHAnsi"/>
        </w:rPr>
        <w:lastRenderedPageBreak/>
        <w:t>Os Deputados,</w:t>
      </w:r>
    </w:p>
    <w:p w:rsidR="00D1606E" w:rsidRPr="00D1606E" w:rsidRDefault="00D1606E" w:rsidP="00D1606E">
      <w:pPr>
        <w:spacing w:after="240" w:line="360" w:lineRule="auto"/>
        <w:jc w:val="center"/>
        <w:rPr>
          <w:rFonts w:cstheme="minorHAnsi"/>
          <w:b/>
          <w:bCs/>
        </w:rPr>
      </w:pPr>
      <w:r w:rsidRPr="00D1606E">
        <w:rPr>
          <w:rFonts w:cstheme="minorHAnsi"/>
          <w:b/>
          <w:bCs/>
        </w:rPr>
        <w:t>DIANA FERREIRA; ANTÓNIO FILIPE; JOÃO OLIVEIRA; PAULA SANTOS; JERÓNIMO DE SOUSA; BRUNO DIAS; JOÃO DIAS; ALMA RIVERA; DUARTE ALVES; ANA MESQUITA</w:t>
      </w:r>
    </w:p>
    <w:p w:rsidR="00D07E6A" w:rsidRDefault="00D07E6A" w:rsidP="00D1606E">
      <w:pPr>
        <w:spacing w:line="360" w:lineRule="auto"/>
      </w:pPr>
    </w:p>
    <w:sectPr w:rsidR="00D07E6A" w:rsidSect="003A5CB8">
      <w:headerReference w:type="default" r:id="rId7"/>
      <w:pgSz w:w="11906" w:h="16838"/>
      <w:pgMar w:top="1417" w:right="1416" w:bottom="1417" w:left="1276" w:header="425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6EB" w:rsidRDefault="008B26EB" w:rsidP="003A5CB8">
      <w:pPr>
        <w:spacing w:after="0" w:line="240" w:lineRule="auto"/>
      </w:pPr>
      <w:r>
        <w:separator/>
      </w:r>
    </w:p>
  </w:endnote>
  <w:endnote w:type="continuationSeparator" w:id="0">
    <w:p w:rsidR="008B26EB" w:rsidRDefault="008B26EB" w:rsidP="003A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6EB" w:rsidRDefault="008B26EB" w:rsidP="003A5CB8">
      <w:pPr>
        <w:spacing w:after="0" w:line="240" w:lineRule="auto"/>
      </w:pPr>
      <w:r>
        <w:separator/>
      </w:r>
    </w:p>
  </w:footnote>
  <w:footnote w:type="continuationSeparator" w:id="0">
    <w:p w:rsidR="008B26EB" w:rsidRDefault="008B26EB" w:rsidP="003A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B8" w:rsidRDefault="003A5CB8" w:rsidP="003A5CB8">
    <w:pPr>
      <w:jc w:val="center"/>
      <w:rPr>
        <w:rFonts w:ascii="Arial Black" w:hAnsi="Arial Black" w:cs="Arial Black"/>
        <w:spacing w:val="-20"/>
        <w:sz w:val="24"/>
      </w:rPr>
    </w:pPr>
    <w:r>
      <w:rPr>
        <w:noProof/>
        <w:sz w:val="24"/>
        <w:lang w:eastAsia="pt-PT"/>
      </w:rPr>
      <w:drawing>
        <wp:inline distT="0" distB="0" distL="0" distR="0" wp14:anchorId="3757B4EF" wp14:editId="3AC4FB08">
          <wp:extent cx="1295400" cy="7239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A5CB8" w:rsidRDefault="003A5CB8" w:rsidP="003A5CB8">
    <w:pPr>
      <w:jc w:val="center"/>
      <w:rPr>
        <w:rFonts w:ascii="Calibri" w:hAnsi="Calibri" w:cs="Calibri"/>
        <w:b/>
        <w:spacing w:val="-20"/>
        <w:kern w:val="1"/>
        <w:sz w:val="24"/>
      </w:rPr>
    </w:pPr>
    <w:r>
      <w:rPr>
        <w:rFonts w:ascii="Calibri" w:hAnsi="Calibri" w:cs="Calibri"/>
        <w:spacing w:val="-20"/>
        <w:sz w:val="24"/>
      </w:rPr>
      <w:t>PARTIDO COMUNISTA PORTUGUÊS</w:t>
    </w:r>
  </w:p>
  <w:p w:rsidR="003A5CB8" w:rsidRDefault="003A5CB8" w:rsidP="003A5CB8">
    <w:pPr>
      <w:jc w:val="center"/>
      <w:rPr>
        <w:rFonts w:ascii="Clarendon Condensed" w:hAnsi="Clarendon Condensed" w:cs="Clarendon Condensed"/>
        <w:b/>
        <w:spacing w:val="22"/>
        <w:kern w:val="1"/>
        <w:sz w:val="24"/>
      </w:rPr>
    </w:pPr>
    <w:r>
      <w:rPr>
        <w:rFonts w:ascii="Calibri" w:hAnsi="Calibri" w:cs="Calibri"/>
        <w:b/>
        <w:spacing w:val="-20"/>
        <w:kern w:val="1"/>
        <w:sz w:val="24"/>
      </w:rPr>
      <w:t xml:space="preserve">Grupo </w:t>
    </w:r>
    <w:r>
      <w:rPr>
        <w:rFonts w:ascii="Calibri" w:hAnsi="Calibri" w:cs="Calibri"/>
        <w:b/>
        <w:spacing w:val="-20"/>
        <w:sz w:val="24"/>
      </w:rPr>
      <w:t>Parlamentar</w:t>
    </w:r>
  </w:p>
  <w:p w:rsidR="003A5CB8" w:rsidRDefault="003A5C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00"/>
    <w:rsid w:val="000177B3"/>
    <w:rsid w:val="000508CF"/>
    <w:rsid w:val="000A6BD4"/>
    <w:rsid w:val="001B1DC1"/>
    <w:rsid w:val="003834D2"/>
    <w:rsid w:val="003A5CB8"/>
    <w:rsid w:val="004F312B"/>
    <w:rsid w:val="005A5E28"/>
    <w:rsid w:val="00794B5B"/>
    <w:rsid w:val="008B26EB"/>
    <w:rsid w:val="008E43C4"/>
    <w:rsid w:val="00A37810"/>
    <w:rsid w:val="00A51400"/>
    <w:rsid w:val="00A8612B"/>
    <w:rsid w:val="00C36D2A"/>
    <w:rsid w:val="00D07E6A"/>
    <w:rsid w:val="00D1606E"/>
    <w:rsid w:val="00D97CDC"/>
    <w:rsid w:val="00EB5DF6"/>
    <w:rsid w:val="00F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4E6F-2B3F-4D8D-8C1F-4EB59B5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qFormat/>
    <w:rsid w:val="00C36D2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Forte">
    <w:name w:val="Strong"/>
    <w:basedOn w:val="Tipodeletrapredefinidodopargrafo"/>
    <w:uiPriority w:val="22"/>
    <w:qFormat/>
    <w:rsid w:val="00C36D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612B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A5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5CB8"/>
  </w:style>
  <w:style w:type="paragraph" w:styleId="Rodap">
    <w:name w:val="footer"/>
    <w:basedOn w:val="Normal"/>
    <w:link w:val="RodapCarter"/>
    <w:uiPriority w:val="99"/>
    <w:unhideWhenUsed/>
    <w:rsid w:val="003A5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5CB8"/>
  </w:style>
  <w:style w:type="paragraph" w:styleId="Textodebalo">
    <w:name w:val="Balloon Text"/>
    <w:basedOn w:val="Normal"/>
    <w:link w:val="TextodebaloCarter"/>
    <w:uiPriority w:val="99"/>
    <w:semiHidden/>
    <w:unhideWhenUsed/>
    <w:rsid w:val="001B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2020-09-13T23:00:00+00:00</DataDocumento>
    <IDFase xmlns="2e97e158-1a31-4bff-9a0a-f8ebffd34ea8">0</IDFase>
    <IDIniciativa xmlns="2e97e158-1a31-4bff-9a0a-f8ebffd34ea8">45223</IDIniciativa>
    <TipoDocumento xmlns="2e97e158-1a31-4bff-9a0a-f8ebffd34ea8">Texto</TipoDocumento>
    <NomeOriginalFicheiro xmlns="2e97e158-1a31-4bff-9a0a-f8ebffd34ea8">pjl503-XIV.docx</NomeOriginalFicheiro>
    <NROrdem xmlns="2e97e158-1a31-4bff-9a0a-f8ebffd34ea8">0</NROrdem>
    <PublicarInternet xmlns="2e97e158-1a31-4bff-9a0a-f8ebffd34ea8">true</PublicarInternet>
    <NRIniciativa xmlns="2e97e158-1a31-4bff-9a0a-f8ebffd34ea8">503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CA22E79D-EF1E-424E-88FA-526F93EE8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031CA-0367-4DF1-B499-BCA28537914C}"/>
</file>

<file path=customXml/itemProps3.xml><?xml version="1.0" encoding="utf-8"?>
<ds:datastoreItem xmlns:ds="http://schemas.openxmlformats.org/officeDocument/2006/customXml" ds:itemID="{8B12F81E-1F05-45B0-B225-6C38D7C51BEE}"/>
</file>

<file path=customXml/itemProps4.xml><?xml version="1.0" encoding="utf-8"?>
<ds:datastoreItem xmlns:ds="http://schemas.openxmlformats.org/officeDocument/2006/customXml" ds:itemID="{0FF61D7A-3E8D-4524-9829-B9E61824F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Helena Silva</dc:creator>
  <cp:keywords/>
  <dc:description/>
  <cp:lastModifiedBy>Pedro Camacho</cp:lastModifiedBy>
  <cp:revision>2</cp:revision>
  <dcterms:created xsi:type="dcterms:W3CDTF">2020-09-25T10:44:00Z</dcterms:created>
  <dcterms:modified xsi:type="dcterms:W3CDTF">2020-09-25T10:44:00Z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229200</vt:r8>
  </property>
</Properties>
</file>