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697A9" w14:textId="7A4E51DE" w:rsidR="00831A13" w:rsidRPr="00FB5544" w:rsidRDefault="00831A13" w:rsidP="00831A13">
      <w:pPr>
        <w:tabs>
          <w:tab w:val="left" w:pos="709"/>
        </w:tabs>
        <w:spacing w:before="120" w:line="360" w:lineRule="auto"/>
        <w:jc w:val="center"/>
        <w:rPr>
          <w:rFonts w:ascii="Cambria" w:hAnsi="Cambria"/>
          <w:b/>
          <w:sz w:val="28"/>
          <w:szCs w:val="28"/>
        </w:rPr>
      </w:pPr>
      <w:r w:rsidRPr="00FB5544">
        <w:rPr>
          <w:rFonts w:ascii="Cambria" w:hAnsi="Cambria"/>
          <w:b/>
          <w:sz w:val="28"/>
          <w:szCs w:val="28"/>
        </w:rPr>
        <w:t xml:space="preserve">PROJETO DE </w:t>
      </w:r>
      <w:r>
        <w:rPr>
          <w:rFonts w:ascii="Cambria" w:hAnsi="Cambria"/>
          <w:b/>
          <w:sz w:val="28"/>
          <w:szCs w:val="28"/>
        </w:rPr>
        <w:t>RESOLUÇÃO</w:t>
      </w:r>
      <w:r w:rsidRPr="00FB5544">
        <w:rPr>
          <w:rFonts w:ascii="Cambria" w:hAnsi="Cambria"/>
          <w:b/>
          <w:sz w:val="28"/>
          <w:szCs w:val="28"/>
        </w:rPr>
        <w:t xml:space="preserve"> </w:t>
      </w:r>
      <w:proofErr w:type="gramStart"/>
      <w:r w:rsidRPr="00FB5544">
        <w:rPr>
          <w:rFonts w:ascii="Cambria" w:hAnsi="Cambria"/>
          <w:b/>
          <w:sz w:val="28"/>
          <w:szCs w:val="28"/>
        </w:rPr>
        <w:t>N.º</w:t>
      </w:r>
      <w:r>
        <w:rPr>
          <w:rFonts w:ascii="Cambria" w:hAnsi="Cambria"/>
          <w:b/>
          <w:sz w:val="28"/>
          <w:szCs w:val="28"/>
        </w:rPr>
        <w:t xml:space="preserve">  </w:t>
      </w:r>
      <w:r w:rsidR="00A776A7">
        <w:rPr>
          <w:rFonts w:ascii="Cambria" w:hAnsi="Cambria"/>
          <w:b/>
          <w:sz w:val="28"/>
          <w:szCs w:val="28"/>
        </w:rPr>
        <w:t>1262</w:t>
      </w:r>
      <w:proofErr w:type="gramEnd"/>
      <w:r w:rsidRPr="00FB5544">
        <w:rPr>
          <w:rFonts w:ascii="Cambria" w:hAnsi="Cambria"/>
          <w:b/>
          <w:sz w:val="28"/>
          <w:szCs w:val="28"/>
        </w:rPr>
        <w:t>/X</w:t>
      </w:r>
      <w:r>
        <w:rPr>
          <w:rFonts w:ascii="Cambria" w:hAnsi="Cambria"/>
          <w:b/>
          <w:sz w:val="28"/>
          <w:szCs w:val="28"/>
        </w:rPr>
        <w:t>IV</w:t>
      </w:r>
      <w:r w:rsidRPr="00FB5544">
        <w:rPr>
          <w:rFonts w:ascii="Cambria" w:hAnsi="Cambria"/>
          <w:b/>
          <w:sz w:val="28"/>
          <w:szCs w:val="28"/>
        </w:rPr>
        <w:t>/</w:t>
      </w:r>
      <w:r w:rsidR="00FD630A">
        <w:rPr>
          <w:rFonts w:ascii="Cambria" w:hAnsi="Cambria"/>
          <w:b/>
          <w:sz w:val="28"/>
          <w:szCs w:val="28"/>
        </w:rPr>
        <w:t>2ª</w:t>
      </w:r>
    </w:p>
    <w:p w14:paraId="16250204" w14:textId="72FBE540" w:rsidR="00DC0565" w:rsidRDefault="00DC0565" w:rsidP="00DC0565">
      <w:pPr>
        <w:spacing w:after="160" w:line="252" w:lineRule="auto"/>
        <w:jc w:val="center"/>
      </w:pPr>
    </w:p>
    <w:p w14:paraId="4496C827" w14:textId="5E56E468" w:rsidR="00A456FD" w:rsidRPr="00FD630A" w:rsidRDefault="00A456FD" w:rsidP="00DC0565">
      <w:pPr>
        <w:spacing w:after="160" w:line="252" w:lineRule="auto"/>
        <w:jc w:val="center"/>
        <w:rPr>
          <w:b/>
          <w:bCs/>
          <w:sz w:val="24"/>
          <w:szCs w:val="24"/>
        </w:rPr>
      </w:pPr>
      <w:bookmarkStart w:id="0" w:name="_GoBack"/>
      <w:r w:rsidRPr="00FD630A">
        <w:rPr>
          <w:b/>
          <w:bCs/>
          <w:sz w:val="24"/>
          <w:szCs w:val="24"/>
        </w:rPr>
        <w:t>Acesso da Península de Setúbal ao financiamento de projetos por fundos comunitários</w:t>
      </w:r>
    </w:p>
    <w:bookmarkEnd w:id="0"/>
    <w:p w14:paraId="24CB2234" w14:textId="77777777" w:rsidR="00DC0565" w:rsidRDefault="00DC0565" w:rsidP="009803DE">
      <w:pPr>
        <w:spacing w:after="160" w:line="252" w:lineRule="auto"/>
        <w:jc w:val="both"/>
      </w:pPr>
    </w:p>
    <w:p w14:paraId="1FEBFB0F" w14:textId="77777777" w:rsidR="009803DE" w:rsidRDefault="009803DE" w:rsidP="009803DE">
      <w:pPr>
        <w:spacing w:after="160" w:line="252" w:lineRule="auto"/>
        <w:jc w:val="both"/>
      </w:pPr>
      <w:r>
        <w:t>A doença COVID-19 levou a que no dia 30 de janeiro de 2020 a Organização Mundial de Saúde declarasse a emergência de saúde pública de âmbito internacional. Por sua vez no dia 11 de março de 2020 a mesma doença atingiu a classificação de pandemia.</w:t>
      </w:r>
    </w:p>
    <w:p w14:paraId="3B0B43F1" w14:textId="77777777" w:rsidR="00231658" w:rsidRDefault="009803DE" w:rsidP="00F219EB">
      <w:pPr>
        <w:spacing w:after="160" w:line="252" w:lineRule="auto"/>
        <w:jc w:val="both"/>
      </w:pPr>
      <w:r>
        <w:t>São severos os efeitos económicos provocados pela pandemia COVID-19 e pelas necessárias medidas ao combate.</w:t>
      </w:r>
    </w:p>
    <w:p w14:paraId="3A3A580E" w14:textId="59397F2B" w:rsidR="00231658" w:rsidRDefault="009803DE" w:rsidP="00F219EB">
      <w:pPr>
        <w:spacing w:after="160" w:line="252" w:lineRule="auto"/>
        <w:jc w:val="both"/>
      </w:pPr>
      <w:r>
        <w:t xml:space="preserve">A construção de uma resposta europeia </w:t>
      </w:r>
      <w:r w:rsidR="00754750">
        <w:t>pode ser uma</w:t>
      </w:r>
      <w:r>
        <w:t xml:space="preserve"> forma forte e eficaz </w:t>
      </w:r>
      <w:r w:rsidR="004B62DF">
        <w:t>aos efeitos económicos provocados pelo surto epidemiológico.</w:t>
      </w:r>
    </w:p>
    <w:p w14:paraId="6B50F351" w14:textId="77777777" w:rsidR="004B62DF" w:rsidRDefault="004B62DF" w:rsidP="00F219EB">
      <w:pPr>
        <w:spacing w:after="160" w:line="252" w:lineRule="auto"/>
        <w:jc w:val="both"/>
      </w:pPr>
      <w:r>
        <w:t>Os instrumentos europeus até agora anunciados são o resultado de um intenso percurso de negociações dos diferentes Estados-Membros que pretendem refletir a solidariedade e coesão do projeto europeu na resposta à pandemia COVID-19.</w:t>
      </w:r>
    </w:p>
    <w:p w14:paraId="1B93494A" w14:textId="77777777" w:rsidR="004B62DF" w:rsidRPr="000014C0" w:rsidRDefault="004B62DF" w:rsidP="00F219EB">
      <w:pPr>
        <w:spacing w:after="160" w:line="252" w:lineRule="auto"/>
        <w:jc w:val="both"/>
        <w:rPr>
          <w:rFonts w:asciiTheme="minorHAnsi" w:hAnsiTheme="minorHAnsi" w:cstheme="minorHAnsi"/>
        </w:rPr>
      </w:pPr>
      <w:r w:rsidRPr="000014C0">
        <w:rPr>
          <w:rFonts w:asciiTheme="minorHAnsi" w:hAnsiTheme="minorHAnsi" w:cstheme="minorHAnsi"/>
        </w:rPr>
        <w:t>Até ao momento estão mobilizados ou fase de preparação instrumentos de diferentes naturezas</w:t>
      </w:r>
      <w:r w:rsidR="000014C0">
        <w:rPr>
          <w:rFonts w:asciiTheme="minorHAnsi" w:hAnsiTheme="minorHAnsi" w:cstheme="minorHAnsi"/>
        </w:rPr>
        <w:t xml:space="preserve"> e cujo prazo de disponibilidade é, igualmente, diferente.</w:t>
      </w:r>
    </w:p>
    <w:p w14:paraId="7C6F4DDB" w14:textId="45DE6DED" w:rsidR="004B62DF" w:rsidRPr="000014C0" w:rsidRDefault="004B62DF" w:rsidP="004B62DF">
      <w:pPr>
        <w:pStyle w:val="Pargrafoda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0014C0">
        <w:rPr>
          <w:rFonts w:cstheme="minorHAnsi"/>
          <w:sz w:val="22"/>
          <w:szCs w:val="22"/>
        </w:rPr>
        <w:t xml:space="preserve">Medidas </w:t>
      </w:r>
      <w:r w:rsidR="00471E65">
        <w:rPr>
          <w:rFonts w:cstheme="minorHAnsi"/>
          <w:sz w:val="22"/>
          <w:szCs w:val="22"/>
        </w:rPr>
        <w:t>urgentes de apoio, em que se contam, entre outras</w:t>
      </w:r>
      <w:r w:rsidRPr="000014C0">
        <w:rPr>
          <w:rFonts w:cstheme="minorHAnsi"/>
          <w:sz w:val="22"/>
          <w:szCs w:val="22"/>
        </w:rPr>
        <w:t>:</w:t>
      </w:r>
    </w:p>
    <w:p w14:paraId="550AD0AE" w14:textId="0A927E46" w:rsidR="004B62DF" w:rsidRPr="000014C0" w:rsidRDefault="00471E65" w:rsidP="004B62DF">
      <w:pPr>
        <w:pStyle w:val="PargrafodaLista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Um </w:t>
      </w:r>
      <w:r w:rsidR="004B62DF" w:rsidRPr="000014C0">
        <w:rPr>
          <w:rFonts w:cstheme="minorHAnsi"/>
          <w:sz w:val="22"/>
          <w:szCs w:val="22"/>
        </w:rPr>
        <w:t>Quadro flexível para auxílios de Estado</w:t>
      </w:r>
      <w:r>
        <w:rPr>
          <w:rFonts w:cstheme="minorHAnsi"/>
          <w:sz w:val="22"/>
          <w:szCs w:val="22"/>
        </w:rPr>
        <w:t>;</w:t>
      </w:r>
    </w:p>
    <w:p w14:paraId="1AF48273" w14:textId="012BEE53" w:rsidR="004B62DF" w:rsidRPr="000014C0" w:rsidRDefault="00471E65" w:rsidP="004B62DF">
      <w:pPr>
        <w:pStyle w:val="PargrafodaLista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ativação da c</w:t>
      </w:r>
      <w:r w:rsidR="004B62DF" w:rsidRPr="000014C0">
        <w:rPr>
          <w:rFonts w:cstheme="minorHAnsi"/>
          <w:sz w:val="22"/>
          <w:szCs w:val="22"/>
        </w:rPr>
        <w:t>láusula de derrogação do Pacto de Estabilidade e Crescimento</w:t>
      </w:r>
      <w:r>
        <w:rPr>
          <w:rFonts w:cstheme="minorHAnsi"/>
          <w:sz w:val="22"/>
          <w:szCs w:val="22"/>
        </w:rPr>
        <w:t>, que cria um regime de flexibilidade no cumprimento das regras orçamentais, pelo menos até ao final de 2022</w:t>
      </w:r>
    </w:p>
    <w:p w14:paraId="313D2416" w14:textId="1A170DE4" w:rsidR="004B62DF" w:rsidRPr="000014C0" w:rsidRDefault="00471E65" w:rsidP="004B62DF">
      <w:pPr>
        <w:pStyle w:val="Pargrafoda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criação de três redes de segurança, numa cifra</w:t>
      </w:r>
      <w:r w:rsidR="004B62DF" w:rsidRPr="000014C0">
        <w:rPr>
          <w:rFonts w:cstheme="minorHAnsi"/>
          <w:sz w:val="22"/>
          <w:szCs w:val="22"/>
        </w:rPr>
        <w:t xml:space="preserve"> global de 540 mil milhões de euros assente </w:t>
      </w:r>
      <w:r>
        <w:rPr>
          <w:rFonts w:cstheme="minorHAnsi"/>
          <w:sz w:val="22"/>
          <w:szCs w:val="22"/>
        </w:rPr>
        <w:t>em três iniciativas concretas</w:t>
      </w:r>
      <w:r w:rsidR="004B62DF" w:rsidRPr="000014C0">
        <w:rPr>
          <w:rFonts w:cstheme="minorHAnsi"/>
          <w:sz w:val="22"/>
          <w:szCs w:val="22"/>
        </w:rPr>
        <w:t>:</w:t>
      </w:r>
    </w:p>
    <w:p w14:paraId="61DBA26B" w14:textId="4B6ED430" w:rsidR="00471E65" w:rsidRPr="000014C0" w:rsidRDefault="00471E65" w:rsidP="004B62DF">
      <w:pPr>
        <w:pStyle w:val="PargrafodaLista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Orçamentos nacionais: Linhas de crédito do </w:t>
      </w:r>
      <w:r w:rsidR="004B62DF" w:rsidRPr="000014C0">
        <w:rPr>
          <w:rFonts w:cstheme="minorHAnsi"/>
          <w:sz w:val="22"/>
          <w:szCs w:val="22"/>
        </w:rPr>
        <w:t>Mecanismo Europeu de Estabilidade</w:t>
      </w:r>
      <w:r>
        <w:rPr>
          <w:rFonts w:cstheme="minorHAnsi"/>
          <w:sz w:val="22"/>
          <w:szCs w:val="22"/>
        </w:rPr>
        <w:t>, num valor de</w:t>
      </w:r>
      <w:r w:rsidR="004B62DF" w:rsidRPr="000014C0">
        <w:rPr>
          <w:rFonts w:cstheme="minorHAnsi"/>
          <w:sz w:val="22"/>
          <w:szCs w:val="22"/>
        </w:rPr>
        <w:t xml:space="preserve"> 240 mil milhões </w:t>
      </w:r>
      <w:r w:rsidR="00754750">
        <w:rPr>
          <w:rFonts w:cstheme="minorHAnsi"/>
          <w:sz w:val="22"/>
          <w:szCs w:val="22"/>
        </w:rPr>
        <w:t>euros</w:t>
      </w:r>
      <w:r>
        <w:rPr>
          <w:rFonts w:cstheme="minorHAnsi"/>
          <w:sz w:val="22"/>
          <w:szCs w:val="22"/>
        </w:rPr>
        <w:t>;</w:t>
      </w:r>
    </w:p>
    <w:p w14:paraId="79D36373" w14:textId="6D259DE1" w:rsidR="004B62DF" w:rsidRPr="00BB7E78" w:rsidRDefault="00471E65" w:rsidP="00471E65">
      <w:pPr>
        <w:pStyle w:val="PargrafodaLista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pt-PT"/>
        </w:rPr>
      </w:pPr>
      <w:r w:rsidRPr="00471E65">
        <w:rPr>
          <w:rFonts w:cstheme="minorHAnsi"/>
          <w:sz w:val="22"/>
          <w:szCs w:val="22"/>
        </w:rPr>
        <w:t xml:space="preserve">Combate ao Desemprego e Financiamento do </w:t>
      </w:r>
      <w:proofErr w:type="spellStart"/>
      <w:r w:rsidRPr="00471E65">
        <w:rPr>
          <w:rFonts w:cstheme="minorHAnsi"/>
          <w:sz w:val="22"/>
          <w:szCs w:val="22"/>
        </w:rPr>
        <w:t>Lay</w:t>
      </w:r>
      <w:proofErr w:type="spellEnd"/>
      <w:r w:rsidRPr="00471E65">
        <w:rPr>
          <w:rFonts w:cstheme="minorHAnsi"/>
          <w:sz w:val="22"/>
          <w:szCs w:val="22"/>
        </w:rPr>
        <w:t xml:space="preserve"> </w:t>
      </w:r>
      <w:proofErr w:type="spellStart"/>
      <w:r w:rsidRPr="00471E65">
        <w:rPr>
          <w:rFonts w:cstheme="minorHAnsi"/>
          <w:sz w:val="22"/>
          <w:szCs w:val="22"/>
        </w:rPr>
        <w:t>off</w:t>
      </w:r>
      <w:proofErr w:type="spellEnd"/>
      <w:r w:rsidRPr="00471E65">
        <w:rPr>
          <w:rFonts w:cstheme="minorHAnsi"/>
          <w:sz w:val="22"/>
          <w:szCs w:val="22"/>
        </w:rPr>
        <w:t xml:space="preserve">: </w:t>
      </w:r>
      <w:r w:rsidRPr="00BB7E78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pt-PT"/>
        </w:rPr>
        <w:t xml:space="preserve">Instrumento europeu de apoio temporário para atenuar os riscos de desemprego numa </w:t>
      </w:r>
      <w:proofErr w:type="gramStart"/>
      <w:r w:rsidRPr="00BB7E78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pt-PT"/>
        </w:rPr>
        <w:t>situação de emergência</w:t>
      </w:r>
      <w:proofErr w:type="gramEnd"/>
      <w:r w:rsidRPr="00BB7E78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pt-PT"/>
        </w:rPr>
        <w:t xml:space="preserve"> (</w:t>
      </w:r>
      <w:r w:rsidRPr="00BB7E78">
        <w:rPr>
          <w:rFonts w:ascii="Arial" w:eastAsia="Times New Roman" w:hAnsi="Arial" w:cs="Arial"/>
          <w:b/>
          <w:bCs/>
          <w:color w:val="5F6368"/>
          <w:sz w:val="21"/>
          <w:szCs w:val="21"/>
          <w:lang w:eastAsia="pt-PT"/>
        </w:rPr>
        <w:t>SURE</w:t>
      </w:r>
      <w:r w:rsidRPr="00471E65">
        <w:rPr>
          <w:rFonts w:ascii="Times New Roman" w:eastAsia="Times New Roman" w:hAnsi="Times New Roman" w:cs="Times New Roman"/>
          <w:lang w:eastAsia="pt-PT"/>
        </w:rPr>
        <w:t>)</w:t>
      </w:r>
      <w:r w:rsidRPr="00BB7E78">
        <w:rPr>
          <w:rFonts w:cstheme="minorHAnsi"/>
        </w:rPr>
        <w:t>, com</w:t>
      </w:r>
      <w:r w:rsidR="004B62DF" w:rsidRPr="00BB7E78">
        <w:rPr>
          <w:rFonts w:cstheme="minorHAnsi"/>
          <w:sz w:val="22"/>
          <w:szCs w:val="22"/>
        </w:rPr>
        <w:t xml:space="preserve"> 100 mil milhões </w:t>
      </w:r>
      <w:r w:rsidR="00754750">
        <w:rPr>
          <w:rFonts w:cstheme="minorHAnsi"/>
          <w:sz w:val="22"/>
          <w:szCs w:val="22"/>
        </w:rPr>
        <w:t>euros</w:t>
      </w:r>
      <w:r w:rsidRPr="00BB7E78">
        <w:rPr>
          <w:rFonts w:cstheme="minorHAnsi"/>
        </w:rPr>
        <w:t>, dos quais já foram distribuídos montantes significativos, inclusivamente em Portugal;</w:t>
      </w:r>
    </w:p>
    <w:p w14:paraId="3D9B33E1" w14:textId="416BA7C7" w:rsidR="004B62DF" w:rsidRPr="000014C0" w:rsidRDefault="00471E65" w:rsidP="004B62DF">
      <w:pPr>
        <w:pStyle w:val="PargrafodaLista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Financi</w:t>
      </w:r>
      <w:r w:rsidR="00BB7E78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>m</w:t>
      </w:r>
      <w:r w:rsidR="00BB7E78">
        <w:rPr>
          <w:rFonts w:cstheme="minorHAnsi"/>
          <w:sz w:val="22"/>
          <w:szCs w:val="22"/>
        </w:rPr>
        <w:t>en</w:t>
      </w:r>
      <w:r>
        <w:rPr>
          <w:rFonts w:cstheme="minorHAnsi"/>
          <w:sz w:val="22"/>
          <w:szCs w:val="22"/>
        </w:rPr>
        <w:t xml:space="preserve">to da economia real: Linhas de financiamento do </w:t>
      </w:r>
      <w:r w:rsidR="004B62DF" w:rsidRPr="000014C0">
        <w:rPr>
          <w:rFonts w:cstheme="minorHAnsi"/>
          <w:sz w:val="22"/>
          <w:szCs w:val="22"/>
        </w:rPr>
        <w:t xml:space="preserve">Banco Europeu de Investimento: 200 mil milhões </w:t>
      </w:r>
      <w:r w:rsidR="00754750">
        <w:rPr>
          <w:rFonts w:cstheme="minorHAnsi"/>
          <w:sz w:val="22"/>
          <w:szCs w:val="22"/>
        </w:rPr>
        <w:t>euros</w:t>
      </w:r>
      <w:r>
        <w:rPr>
          <w:rFonts w:cstheme="minorHAnsi"/>
          <w:sz w:val="22"/>
          <w:szCs w:val="22"/>
        </w:rPr>
        <w:t>;</w:t>
      </w:r>
    </w:p>
    <w:p w14:paraId="0FE31D26" w14:textId="77777777" w:rsidR="00471E65" w:rsidRDefault="00471E65" w:rsidP="004B62DF">
      <w:pPr>
        <w:pStyle w:val="Pargrafoda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Plano de Recuperação de 1,8 biliões de euros, assente em duas dimensões:</w:t>
      </w:r>
    </w:p>
    <w:p w14:paraId="07E16A3B" w14:textId="77777777" w:rsidR="00471E65" w:rsidRDefault="00471E65" w:rsidP="00471E65">
      <w:pPr>
        <w:pStyle w:val="PargrafodaLista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Quadro Financeiro Plurianual 2021-2027, cujos programas de execução devem ser mobilizados quanto antes;</w:t>
      </w:r>
    </w:p>
    <w:p w14:paraId="64E7B981" w14:textId="3CB01F14" w:rsidR="0031711E" w:rsidRPr="00471E65" w:rsidRDefault="00471E65" w:rsidP="00BB7E78">
      <w:pPr>
        <w:pStyle w:val="PargrafodaLista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  <w:sz w:val="22"/>
          <w:szCs w:val="22"/>
        </w:rPr>
        <w:t xml:space="preserve">Programa </w:t>
      </w:r>
      <w:proofErr w:type="spellStart"/>
      <w:r>
        <w:rPr>
          <w:rFonts w:cstheme="minorHAnsi"/>
          <w:sz w:val="22"/>
          <w:szCs w:val="22"/>
        </w:rPr>
        <w:t>Next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Generation</w:t>
      </w:r>
      <w:proofErr w:type="spellEnd"/>
      <w:r>
        <w:rPr>
          <w:rFonts w:cstheme="minorHAnsi"/>
          <w:sz w:val="22"/>
          <w:szCs w:val="22"/>
        </w:rPr>
        <w:t xml:space="preserve"> EU (750 mil milhões de euros), assente sobretudo no Mecanismo de Recuperação e Resiliência.</w:t>
      </w:r>
    </w:p>
    <w:p w14:paraId="640062C1" w14:textId="77777777" w:rsidR="00471E65" w:rsidRDefault="00471E65" w:rsidP="0031711E">
      <w:pPr>
        <w:jc w:val="both"/>
        <w:rPr>
          <w:rFonts w:cstheme="minorHAnsi"/>
        </w:rPr>
      </w:pPr>
    </w:p>
    <w:p w14:paraId="35851A0C" w14:textId="3D073981" w:rsidR="00471E65" w:rsidRDefault="00471E65" w:rsidP="0031711E">
      <w:pPr>
        <w:jc w:val="both"/>
        <w:rPr>
          <w:rFonts w:cstheme="minorHAnsi"/>
        </w:rPr>
      </w:pPr>
      <w:r>
        <w:rPr>
          <w:rFonts w:cstheme="minorHAnsi"/>
        </w:rPr>
        <w:lastRenderedPageBreak/>
        <w:t>Em paralelo, o Banco Central</w:t>
      </w:r>
      <w:r w:rsidR="00754750">
        <w:rPr>
          <w:rFonts w:cstheme="minorHAnsi"/>
        </w:rPr>
        <w:t xml:space="preserve"> Europeus</w:t>
      </w:r>
      <w:r>
        <w:rPr>
          <w:rFonts w:cstheme="minorHAnsi"/>
        </w:rPr>
        <w:t xml:space="preserve"> mantém (com anúncio da aceleração nos próximos meses), o Programa de Emergência de Compra de Ativos, que já se cifra em 1,85 biliões de euros (até </w:t>
      </w:r>
      <w:proofErr w:type="gramStart"/>
      <w:r>
        <w:rPr>
          <w:rFonts w:cstheme="minorHAnsi"/>
        </w:rPr>
        <w:t>Março</w:t>
      </w:r>
      <w:proofErr w:type="gramEnd"/>
      <w:r>
        <w:rPr>
          <w:rFonts w:cstheme="minorHAnsi"/>
        </w:rPr>
        <w:t xml:space="preserve"> de 2022) e que se acrescenta ao programa de </w:t>
      </w:r>
      <w:proofErr w:type="spellStart"/>
      <w:r>
        <w:rPr>
          <w:rFonts w:cstheme="minorHAnsi"/>
        </w:rPr>
        <w:t>Quantitative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Easing</w:t>
      </w:r>
      <w:proofErr w:type="spellEnd"/>
      <w:r>
        <w:rPr>
          <w:rFonts w:cstheme="minorHAnsi"/>
        </w:rPr>
        <w:t>.</w:t>
      </w:r>
    </w:p>
    <w:p w14:paraId="4C28896A" w14:textId="77777777" w:rsidR="00471E65" w:rsidRDefault="00471E65" w:rsidP="0031711E">
      <w:pPr>
        <w:jc w:val="both"/>
        <w:rPr>
          <w:rFonts w:cstheme="minorHAnsi"/>
        </w:rPr>
      </w:pPr>
    </w:p>
    <w:p w14:paraId="28C47ED4" w14:textId="50039C04" w:rsidR="0031711E" w:rsidRDefault="0031711E" w:rsidP="0031711E">
      <w:pPr>
        <w:jc w:val="both"/>
        <w:rPr>
          <w:rFonts w:cstheme="minorHAnsi"/>
        </w:rPr>
      </w:pPr>
      <w:r>
        <w:rPr>
          <w:rFonts w:cstheme="minorHAnsi"/>
        </w:rPr>
        <w:t>O papel das instituições europeias no apoio financeiro aos Estados-Membros será a grande alavanca para ultrapassar as dificuldades económicas causas pela COVID-19.</w:t>
      </w:r>
    </w:p>
    <w:p w14:paraId="15425340" w14:textId="77777777" w:rsidR="0031711E" w:rsidRDefault="0031711E" w:rsidP="0031711E">
      <w:pPr>
        <w:jc w:val="both"/>
        <w:rPr>
          <w:rFonts w:cstheme="minorHAnsi"/>
        </w:rPr>
      </w:pPr>
    </w:p>
    <w:p w14:paraId="2C8075A0" w14:textId="737A7C80" w:rsidR="009B2428" w:rsidRDefault="00227A36" w:rsidP="009B2428">
      <w:pPr>
        <w:jc w:val="both"/>
        <w:rPr>
          <w:rFonts w:cstheme="minorHAnsi"/>
        </w:rPr>
      </w:pPr>
      <w:r>
        <w:rPr>
          <w:rFonts w:cstheme="minorHAnsi"/>
        </w:rPr>
        <w:t>De acordo com dados do INE o</w:t>
      </w:r>
      <w:r w:rsidRPr="00227A36">
        <w:rPr>
          <w:rFonts w:cstheme="minorHAnsi"/>
        </w:rPr>
        <w:t xml:space="preserve"> PIB contraiu 7,6% em 2020, sendo que a maior parte do 15,4 mil milhões de euros do PIB perdeu-se devido à quebra no consumo privado e exportações</w:t>
      </w:r>
      <w:r w:rsidR="001937BA">
        <w:rPr>
          <w:rFonts w:cstheme="minorHAnsi"/>
        </w:rPr>
        <w:t>. Esta quebra é superior à medida da União Europeia (6,4%) e da Zona Euro (6,8%). Acresce que a recuperação económica esperada para 2021 pode estar significativamente prejudicada pela vaga da pandemia que obrigou às medidas de confinamento adotadas pelo Governo. De resto, o Fundo Monetário Internacional reviu, em baixo, as perspetivas para a economia portuguesa de 6,5% (em Outubro) para 3,9%.</w:t>
      </w:r>
    </w:p>
    <w:p w14:paraId="572D3784" w14:textId="77777777" w:rsidR="00315AD6" w:rsidRDefault="00315AD6" w:rsidP="009B2428">
      <w:pPr>
        <w:jc w:val="both"/>
        <w:rPr>
          <w:rFonts w:cstheme="minorHAnsi"/>
        </w:rPr>
      </w:pPr>
    </w:p>
    <w:p w14:paraId="7CB7AC39" w14:textId="77777777" w:rsidR="00315AD6" w:rsidRDefault="00315AD6" w:rsidP="009B2428">
      <w:pPr>
        <w:jc w:val="both"/>
        <w:rPr>
          <w:rFonts w:cstheme="minorHAnsi"/>
        </w:rPr>
      </w:pPr>
      <w:r>
        <w:rPr>
          <w:rFonts w:cstheme="minorHAnsi"/>
        </w:rPr>
        <w:t>S</w:t>
      </w:r>
      <w:r w:rsidRPr="00315AD6">
        <w:rPr>
          <w:rFonts w:cstheme="minorHAnsi"/>
        </w:rPr>
        <w:t>egundo as Contas Nacionais por Setor Institucional, divulgadas pelo Instituto Nacional de Estatística</w:t>
      </w:r>
      <w:r>
        <w:rPr>
          <w:rFonts w:cstheme="minorHAnsi"/>
        </w:rPr>
        <w:t xml:space="preserve"> a formação bruta do capital fixo na</w:t>
      </w:r>
      <w:r w:rsidR="00BC6736">
        <w:rPr>
          <w:rFonts w:cstheme="minorHAnsi"/>
        </w:rPr>
        <w:t xml:space="preserve"> XIII</w:t>
      </w:r>
      <w:r>
        <w:rPr>
          <w:rFonts w:cstheme="minorHAnsi"/>
        </w:rPr>
        <w:t xml:space="preserve"> legislatura nunca compensou o consumo de capital fixo registado.</w:t>
      </w:r>
    </w:p>
    <w:p w14:paraId="2D570EC7" w14:textId="77777777" w:rsidR="00315AD6" w:rsidRDefault="00315AD6" w:rsidP="009B2428">
      <w:pPr>
        <w:jc w:val="both"/>
        <w:rPr>
          <w:rFonts w:cstheme="minorHAnsi"/>
        </w:rPr>
      </w:pPr>
    </w:p>
    <w:p w14:paraId="7FDEBCBC" w14:textId="77777777" w:rsidR="00315AD6" w:rsidRDefault="00315AD6" w:rsidP="009B2428">
      <w:pPr>
        <w:jc w:val="both"/>
        <w:rPr>
          <w:rFonts w:cstheme="minorHAnsi"/>
        </w:rPr>
      </w:pPr>
      <w:r>
        <w:rPr>
          <w:rFonts w:cstheme="minorHAnsi"/>
        </w:rPr>
        <w:t>Verificou-se uma redução do stock de capital público a um ritmo próximo de -1% do PIB. Ou seja, o investimento em áreas fundamentais como educação, saúde, equipamentos sociais, infraestruturas para transportes entre outros, tem caído a um ritmo constante.</w:t>
      </w:r>
    </w:p>
    <w:p w14:paraId="1EFB6D56" w14:textId="77777777" w:rsidR="0069228E" w:rsidRDefault="0069228E" w:rsidP="009B2428">
      <w:pPr>
        <w:jc w:val="both"/>
        <w:rPr>
          <w:rFonts w:cstheme="minorHAnsi"/>
        </w:rPr>
      </w:pPr>
    </w:p>
    <w:p w14:paraId="2E9E4B98" w14:textId="77777777" w:rsidR="0069228E" w:rsidRDefault="0069228E" w:rsidP="009B2428">
      <w:pPr>
        <w:jc w:val="both"/>
        <w:rPr>
          <w:rFonts w:cstheme="minorHAnsi"/>
        </w:rPr>
      </w:pPr>
      <w:r>
        <w:rPr>
          <w:rFonts w:cstheme="minorHAnsi"/>
        </w:rPr>
        <w:t xml:space="preserve">Por outro a economia tem </w:t>
      </w:r>
      <w:r w:rsidR="00227A36">
        <w:rPr>
          <w:rFonts w:cstheme="minorHAnsi"/>
        </w:rPr>
        <w:t>de</w:t>
      </w:r>
      <w:r>
        <w:rPr>
          <w:rFonts w:cstheme="minorHAnsi"/>
        </w:rPr>
        <w:t xml:space="preserve"> recuperar a capacidade de crescimento. Para esse efeito o investimento do setor privado, aliado ao setor público é também crucial.</w:t>
      </w:r>
    </w:p>
    <w:p w14:paraId="09C6C769" w14:textId="77777777" w:rsidR="00BC6736" w:rsidRDefault="00BC6736" w:rsidP="009B2428">
      <w:pPr>
        <w:jc w:val="both"/>
        <w:rPr>
          <w:rFonts w:cstheme="minorHAnsi"/>
        </w:rPr>
      </w:pPr>
    </w:p>
    <w:p w14:paraId="29DCBBAC" w14:textId="77777777" w:rsidR="00BC6736" w:rsidRDefault="00BC6736" w:rsidP="009B2428">
      <w:pPr>
        <w:jc w:val="both"/>
        <w:rPr>
          <w:rFonts w:cstheme="minorHAnsi"/>
        </w:rPr>
      </w:pPr>
      <w:r>
        <w:rPr>
          <w:rFonts w:cstheme="minorHAnsi"/>
        </w:rPr>
        <w:t>O setor privado tem sido uma grande alavanca da economia do país. Em particular as exportações portuguesas no</w:t>
      </w:r>
      <w:r w:rsidR="00485D60">
        <w:rPr>
          <w:rFonts w:cstheme="minorHAnsi"/>
        </w:rPr>
        <w:t>s</w:t>
      </w:r>
      <w:r>
        <w:rPr>
          <w:rFonts w:cstheme="minorHAnsi"/>
        </w:rPr>
        <w:t xml:space="preserve"> últimos 8 anos aumentaram de 30% para 44% do PIB.</w:t>
      </w:r>
    </w:p>
    <w:p w14:paraId="141875A0" w14:textId="77777777" w:rsidR="00BC6736" w:rsidRPr="009B2428" w:rsidRDefault="00BC6736" w:rsidP="009B2428">
      <w:pPr>
        <w:jc w:val="both"/>
        <w:rPr>
          <w:rFonts w:cstheme="minorHAnsi"/>
        </w:rPr>
      </w:pPr>
      <w:r>
        <w:rPr>
          <w:rFonts w:cstheme="minorHAnsi"/>
        </w:rPr>
        <w:t>Contudo o potencial de crescimento da economia portuguesa não está alinhado com os restantes Estados-Membros</w:t>
      </w:r>
      <w:r w:rsidR="008822A8">
        <w:rPr>
          <w:rFonts w:cstheme="minorHAnsi"/>
        </w:rPr>
        <w:t>.</w:t>
      </w:r>
    </w:p>
    <w:p w14:paraId="09654130" w14:textId="77777777" w:rsidR="009B2428" w:rsidRDefault="009B2428" w:rsidP="00F219EB">
      <w:pPr>
        <w:spacing w:after="160" w:line="252" w:lineRule="auto"/>
        <w:jc w:val="both"/>
        <w:rPr>
          <w:b/>
          <w:bCs/>
        </w:rPr>
      </w:pPr>
    </w:p>
    <w:p w14:paraId="0C827B8C" w14:textId="77777777" w:rsidR="008822A8" w:rsidRPr="008822A8" w:rsidRDefault="008822A8" w:rsidP="00F219EB">
      <w:pPr>
        <w:spacing w:after="160" w:line="252" w:lineRule="auto"/>
        <w:jc w:val="both"/>
      </w:pPr>
      <w:r>
        <w:t>O stock de capital líquido da União Europeia aument</w:t>
      </w:r>
      <w:r w:rsidR="00485D60">
        <w:t>ou 11% em dez anos, entre 2008 e 2018. Contudo os mesmos dados da União Europeia indicam que a economia portuguesa está menos capitalizada, com uma redução de -1% para o mesmo período. Sendo que</w:t>
      </w:r>
      <w:r w:rsidR="008350DB">
        <w:t>,</w:t>
      </w:r>
      <w:r w:rsidR="00485D60">
        <w:t xml:space="preserve"> </w:t>
      </w:r>
      <w:r w:rsidR="008350DB">
        <w:t>de 2015 a 2018 observa-se igualmente uma redução de -1%, sempre em divergência com o sentido que a União Europeia a 27 apresenta.</w:t>
      </w:r>
    </w:p>
    <w:p w14:paraId="04CA6AAD" w14:textId="77777777" w:rsidR="008822A8" w:rsidRDefault="008350DB" w:rsidP="00F219EB">
      <w:pPr>
        <w:spacing w:after="160" w:line="252" w:lineRule="auto"/>
        <w:jc w:val="both"/>
      </w:pPr>
      <w:r>
        <w:t>O desgaste do capital fixo não é compensado pelo investimento, por essa razão o índice stock capital líquido é negativo o que coloca a economia portuguesa numa posição que desfavorece o potencial de crescimento. O resultado será sempre a diminuição da competitividade e dos resultados das empresas e menor capacidade para estas aumentarem o nível salarial dos seus trabalhadores.</w:t>
      </w:r>
    </w:p>
    <w:p w14:paraId="646B26E4" w14:textId="77777777" w:rsidR="002F2D6E" w:rsidRDefault="002F2D6E" w:rsidP="00F219EB">
      <w:pPr>
        <w:spacing w:after="160" w:line="252" w:lineRule="auto"/>
        <w:jc w:val="both"/>
      </w:pPr>
      <w:r>
        <w:t xml:space="preserve">Com este contexto económico o apoio a bens tangíveis </w:t>
      </w:r>
      <w:r w:rsidR="003120F9">
        <w:t>com</w:t>
      </w:r>
      <w:r>
        <w:t xml:space="preserve"> Fundos Europeus Estruturais e Investimento apresenta-se como um importante instrumento</w:t>
      </w:r>
      <w:r w:rsidR="003120F9">
        <w:t>.</w:t>
      </w:r>
      <w:r>
        <w:t xml:space="preserve"> </w:t>
      </w:r>
      <w:r w:rsidR="003120F9">
        <w:t>E</w:t>
      </w:r>
      <w:r>
        <w:t>specialmente no atual quadro de escassez de liquidez.</w:t>
      </w:r>
    </w:p>
    <w:p w14:paraId="7DBFF3EF" w14:textId="77777777" w:rsidR="002F2D6E" w:rsidRDefault="002F2D6E" w:rsidP="00FD630A">
      <w:pPr>
        <w:tabs>
          <w:tab w:val="left" w:pos="0"/>
        </w:tabs>
        <w:spacing w:after="160" w:line="252" w:lineRule="auto"/>
        <w:jc w:val="both"/>
      </w:pPr>
      <w:r>
        <w:lastRenderedPageBreak/>
        <w:t xml:space="preserve">Será assim importante o acesso a Fundos Europeus Estruturais e </w:t>
      </w:r>
      <w:r w:rsidR="00E331BE">
        <w:t>Investimento de todas as regiões do país e da forma mais transversal possível.</w:t>
      </w:r>
    </w:p>
    <w:p w14:paraId="47FE025F" w14:textId="77777777" w:rsidR="003120F9" w:rsidRDefault="003120F9" w:rsidP="00F219EB">
      <w:pPr>
        <w:spacing w:after="160" w:line="252" w:lineRule="auto"/>
        <w:jc w:val="both"/>
      </w:pPr>
      <w:r>
        <w:t>Os efeitos económicos da COVID-19 obrigam a uma aplicação dos fundos comunitários num contexto diferente ao que se verificava antes do surto epidemiológico.</w:t>
      </w:r>
    </w:p>
    <w:p w14:paraId="76ADDBBD" w14:textId="01F604CD" w:rsidR="008350DB" w:rsidRPr="00754750" w:rsidRDefault="00754750" w:rsidP="00FD630A">
      <w:pPr>
        <w:spacing w:after="160" w:line="252" w:lineRule="auto"/>
        <w:ind w:firstLine="1"/>
        <w:jc w:val="both"/>
      </w:pPr>
      <w:r>
        <w:t>Este contexto fragiliza o tecido empresarial português afetando de forma transversal as empresas que</w:t>
      </w:r>
      <w:r w:rsidR="00FD630A">
        <w:t xml:space="preserve"> </w:t>
      </w:r>
      <w:r>
        <w:t>o compõem.</w:t>
      </w:r>
    </w:p>
    <w:p w14:paraId="06D3CAB7" w14:textId="77777777" w:rsidR="00F219EB" w:rsidRDefault="00F219EB" w:rsidP="00F219EB">
      <w:pPr>
        <w:spacing w:after="160" w:line="252" w:lineRule="auto"/>
        <w:jc w:val="both"/>
        <w:rPr>
          <w:b/>
          <w:bCs/>
        </w:rPr>
      </w:pPr>
      <w:r>
        <w:rPr>
          <w:b/>
          <w:bCs/>
        </w:rPr>
        <w:t>Enquadramento da península de Setúbal</w:t>
      </w:r>
    </w:p>
    <w:p w14:paraId="59DBFBEB" w14:textId="77777777" w:rsidR="00F219EB" w:rsidRDefault="00F219EB" w:rsidP="00F219EB">
      <w:pPr>
        <w:spacing w:after="160" w:line="252" w:lineRule="auto"/>
        <w:jc w:val="both"/>
      </w:pPr>
      <w:r>
        <w:t>A península de Setúbal é uma região que agrega 9 concelhos: Alcochete, Almada, Barreiro, Moita, Montijo, Palmela, Seixal, Sesimbra e Setúbal.</w:t>
      </w:r>
    </w:p>
    <w:p w14:paraId="675C520A" w14:textId="77777777" w:rsidR="00F219EB" w:rsidRDefault="00F219EB" w:rsidP="00F219EB">
      <w:pPr>
        <w:spacing w:after="160" w:line="252" w:lineRule="auto"/>
        <w:jc w:val="both"/>
      </w:pPr>
      <w:r>
        <w:t>A ausência de dados socioeconómicos leva a que a que península de Setúbal tenha acesso condicionado aos fundos comunitários, como ocorre com a restante Área Metropolitana de Lisboa.</w:t>
      </w:r>
    </w:p>
    <w:p w14:paraId="5BC44A82" w14:textId="77777777" w:rsidR="00F219EB" w:rsidRDefault="00F219EB" w:rsidP="00F219EB">
      <w:pPr>
        <w:spacing w:after="160" w:line="252" w:lineRule="auto"/>
        <w:jc w:val="both"/>
      </w:pPr>
      <w:r>
        <w:t>A península de Setúbal está inserida numa NUT II e NUT III que contabilizam dados socioeconómicos da mesma área geográfica, ou seja, a Área Metropolitana de Lisboa.</w:t>
      </w:r>
    </w:p>
    <w:p w14:paraId="146B4741" w14:textId="77777777" w:rsidR="00F219EB" w:rsidRDefault="00F219EB" w:rsidP="00F219EB">
      <w:pPr>
        <w:spacing w:after="160" w:line="252" w:lineRule="auto"/>
        <w:jc w:val="both"/>
      </w:pPr>
      <w:r>
        <w:t>Sendo que a esta região correspondia a uma NUTIII até à sua inserção na Área Metropolitana de Lisboa.</w:t>
      </w:r>
    </w:p>
    <w:p w14:paraId="72993CE9" w14:textId="77777777" w:rsidR="00F219EB" w:rsidRDefault="00F219EB" w:rsidP="00F219EB">
      <w:pPr>
        <w:spacing w:after="160" w:line="252" w:lineRule="auto"/>
        <w:jc w:val="both"/>
      </w:pPr>
      <w:r>
        <w:t xml:space="preserve">Contudo, os últimos dados disponibilizados pelo Instituto Nacional de Estatística, reportando-se ao ano de 2015, indicavam que a península de Setúbal contava com um PIB por habitante de 12.519 euros, enquanto o resto da AML apresentava um PIB por habitante de 27.382 euros. </w:t>
      </w:r>
    </w:p>
    <w:p w14:paraId="7BC2AE9A" w14:textId="77777777" w:rsidR="00F219EB" w:rsidRDefault="00F219EB" w:rsidP="00F219EB">
      <w:pPr>
        <w:spacing w:after="160" w:line="252" w:lineRule="auto"/>
        <w:jc w:val="both"/>
      </w:pPr>
      <w:r>
        <w:t>Nesse sentido, é evidente que a península tem características socioeconómicas diferentes da restante NUT II e NUTIII em que está inserida.</w:t>
      </w:r>
    </w:p>
    <w:p w14:paraId="76B142CD" w14:textId="77777777" w:rsidR="00F219EB" w:rsidRDefault="00F219EB" w:rsidP="00F219EB">
      <w:pPr>
        <w:spacing w:after="160" w:line="252" w:lineRule="auto"/>
        <w:jc w:val="both"/>
      </w:pPr>
      <w:r>
        <w:t>Ainda que seja muito relevante a análise sobre a possibilidade de a península de Setúbal ser novamente uma NUTIII, essa ação exigiria um trabalho conjunto com o Eurostat. Mas a previsível morosidade dessa iniciativa é incompatível com a urgência de uma resposta para a região.</w:t>
      </w:r>
    </w:p>
    <w:p w14:paraId="095CB23B" w14:textId="77777777" w:rsidR="00F219EB" w:rsidRDefault="00F219EB" w:rsidP="00F219EB">
      <w:pPr>
        <w:spacing w:after="160" w:line="252" w:lineRule="auto"/>
        <w:jc w:val="both"/>
      </w:pPr>
      <w:r>
        <w:t xml:space="preserve">Importa recordar que em dezembro de 2019, em audição realizada na Assembleia da República, a Ministra da Coesão Territorial reconheceu a importância de a península de Setúbal ter uma política própria para acesso a fundos comunitários. </w:t>
      </w:r>
    </w:p>
    <w:p w14:paraId="442E295F" w14:textId="77777777" w:rsidR="00F219EB" w:rsidRDefault="00F219EB" w:rsidP="00F219EB">
      <w:pPr>
        <w:spacing w:after="160" w:line="252" w:lineRule="auto"/>
        <w:jc w:val="both"/>
      </w:pPr>
      <w:r>
        <w:t>Perante a pergunta realizada pelo Grupo Parlamentar do PSD, nessa audição, a Ministra da Coesão Territorial reconheceu a importância do problema, indicando inclusive a possibilidade de criar uma ou mais ITI (Investimentos Territoriais Integrados) para esta região.</w:t>
      </w:r>
    </w:p>
    <w:p w14:paraId="39F5F43C" w14:textId="77777777" w:rsidR="00F219EB" w:rsidRDefault="00F219EB" w:rsidP="00F219EB">
      <w:pPr>
        <w:spacing w:after="160" w:line="252" w:lineRule="auto"/>
        <w:jc w:val="both"/>
      </w:pPr>
      <w:r>
        <w:t>No entanto, desde dezembro até à presente data não existiu qualquer medida do governo que corrija esta situação. O tecido empresarial da península de Setúbal continua a ser negativamente discriminado pela ausência de políticas públicas adaptadas às suas necessidades.</w:t>
      </w:r>
    </w:p>
    <w:p w14:paraId="2BA769A8" w14:textId="77777777" w:rsidR="00F219EB" w:rsidRDefault="00F219EB" w:rsidP="00F219EB">
      <w:pPr>
        <w:spacing w:after="160" w:line="252" w:lineRule="auto"/>
        <w:jc w:val="both"/>
        <w:rPr>
          <w:b/>
          <w:bCs/>
        </w:rPr>
      </w:pPr>
      <w:r>
        <w:rPr>
          <w:b/>
          <w:bCs/>
        </w:rPr>
        <w:t>Contexto atual da península de Setúbal</w:t>
      </w:r>
    </w:p>
    <w:p w14:paraId="508D0CED" w14:textId="77777777" w:rsidR="00F219EB" w:rsidRDefault="00F219EB" w:rsidP="00F219EB">
      <w:pPr>
        <w:spacing w:after="160" w:line="252" w:lineRule="auto"/>
        <w:jc w:val="both"/>
      </w:pPr>
      <w:r>
        <w:t>As exigências para a saúde, setor social, proteção do emprego e empresas assumem uma nova realidade em todo o continente europeu.</w:t>
      </w:r>
    </w:p>
    <w:p w14:paraId="4E35B118" w14:textId="77777777" w:rsidR="00F219EB" w:rsidRDefault="00F219EB" w:rsidP="00F219EB">
      <w:pPr>
        <w:spacing w:after="160" w:line="252" w:lineRule="auto"/>
        <w:jc w:val="both"/>
      </w:pPr>
      <w:r>
        <w:lastRenderedPageBreak/>
        <w:t>As necessidades da península de Setúbal não são diferentes. Mas as limitações no acesso a fundos comunitários assumem uma maior dimensão no setor económico, particularmente nos apoios ao emprego e empresas.</w:t>
      </w:r>
    </w:p>
    <w:p w14:paraId="7CD7CD1E" w14:textId="77777777" w:rsidR="00F219EB" w:rsidRDefault="00F219EB" w:rsidP="00F219EB">
      <w:pPr>
        <w:spacing w:after="160" w:line="252" w:lineRule="auto"/>
        <w:jc w:val="both"/>
      </w:pPr>
      <w:r>
        <w:t>Com o modelo atual, apenas excecionalmente o tecido empresarial da península de Setúbal acede a fundos comunitários. Nos últimos anos esta excecionalidade ocorreu na agricultura, empresas exportadoras, entre outras linhas de apoio. Porém, tiveram uma dimensão significativamente inferior quando comparadas a outras semelhantes no resto de país.</w:t>
      </w:r>
    </w:p>
    <w:p w14:paraId="7DE4EB36" w14:textId="77777777" w:rsidR="00F219EB" w:rsidRDefault="00F219EB" w:rsidP="00F219EB">
      <w:pPr>
        <w:spacing w:after="160" w:line="252" w:lineRule="auto"/>
        <w:jc w:val="both"/>
      </w:pPr>
      <w:r>
        <w:t>Ou seja, mesmo os setores económicos que beneficiaram de fundos comunitários tiveram um acesso qualitativo e quantitativo mais diminuto que outras regiões do território nacional.</w:t>
      </w:r>
    </w:p>
    <w:p w14:paraId="5220656F" w14:textId="77777777" w:rsidR="00F219EB" w:rsidRDefault="00F219EB" w:rsidP="00F219EB">
      <w:pPr>
        <w:spacing w:after="160" w:line="252" w:lineRule="auto"/>
        <w:jc w:val="both"/>
      </w:pPr>
      <w:r>
        <w:t>Os efeitos da COVID-19 na economia necessitam de uma resposta do governo e das instituições da União Europeia para manter a economia existente. Mas muito especialmente as empresas e os empregos que estas geram e mantêm.</w:t>
      </w:r>
    </w:p>
    <w:p w14:paraId="3FE0460A" w14:textId="77777777" w:rsidR="00F219EB" w:rsidRDefault="00F219EB" w:rsidP="00F219EB">
      <w:pPr>
        <w:spacing w:after="160" w:line="252" w:lineRule="auto"/>
        <w:jc w:val="both"/>
      </w:pPr>
      <w:r>
        <w:t>Os efeitos negativos da pandemia COVID-19 são transversais a diferentes setores económicos em todo o país.</w:t>
      </w:r>
    </w:p>
    <w:p w14:paraId="19EBCAFF" w14:textId="77777777" w:rsidR="00F219EB" w:rsidRDefault="00F219EB" w:rsidP="00F219EB">
      <w:pPr>
        <w:spacing w:after="160" w:line="252" w:lineRule="auto"/>
        <w:jc w:val="both"/>
      </w:pPr>
      <w:r>
        <w:t>Este contexto exige a adaptação das políticas económicas pensadas para o país. Na definição das novas políticas económicas é fundamental tratar de forma equitativa as diferentes regiões de Portugal.</w:t>
      </w:r>
    </w:p>
    <w:p w14:paraId="05D7588E" w14:textId="08275704" w:rsidR="00F219EB" w:rsidRDefault="00F219EB" w:rsidP="00F219EB">
      <w:pPr>
        <w:spacing w:after="160" w:line="252" w:lineRule="auto"/>
        <w:jc w:val="both"/>
      </w:pPr>
      <w:r>
        <w:t>É evidente que a realidade do país anterior à COVID-19 mudou. Essa mudança reflete-se igualmente nos indicadores socioeconómicos que em outra ocasião poderiam justificar empregar mais meios de apoio à economia numa região em detrimento de outra. Intensificou-se a necessidade de a península de Setúbal aceder a todos os fundos comunitários de</w:t>
      </w:r>
      <w:r w:rsidR="00260150">
        <w:t xml:space="preserve"> uma</w:t>
      </w:r>
      <w:r>
        <w:t xml:space="preserve"> forma transversal.</w:t>
      </w:r>
    </w:p>
    <w:p w14:paraId="316CF0BD" w14:textId="77777777" w:rsidR="00F219EB" w:rsidRDefault="00F219EB" w:rsidP="00F219EB">
      <w:pPr>
        <w:spacing w:after="160" w:line="252" w:lineRule="auto"/>
        <w:jc w:val="both"/>
      </w:pPr>
      <w:r>
        <w:t xml:space="preserve">É particularmente importante que este acesso seja concretizado porque as primeiras respostas das diferentes instituições europeias a esta crise são dirigidas à saúde, às empresas e ao setor social. </w:t>
      </w:r>
    </w:p>
    <w:p w14:paraId="3B5C627E" w14:textId="77777777" w:rsidR="00F219EB" w:rsidRDefault="00F219EB" w:rsidP="00F219EB">
      <w:pPr>
        <w:spacing w:after="160" w:line="252" w:lineRule="auto"/>
        <w:jc w:val="both"/>
      </w:pPr>
      <w:r>
        <w:t>Se a estrutura e forma de funcionamento do Fundo de Recuperação</w:t>
      </w:r>
      <w:r w:rsidR="00227A36">
        <w:t xml:space="preserve"> e Resiliência</w:t>
      </w:r>
      <w:r>
        <w:t xml:space="preserve"> é relevante para operacionalizar um sistema solidário nos estados membros, será antagónico que essa solidariedade não abranja regiões como a península de Setúbal.</w:t>
      </w:r>
    </w:p>
    <w:p w14:paraId="623B61D3" w14:textId="77777777" w:rsidR="00F219EB" w:rsidRDefault="00F219EB" w:rsidP="00F219EB">
      <w:pPr>
        <w:spacing w:after="160" w:line="252" w:lineRule="auto"/>
        <w:jc w:val="both"/>
        <w:rPr>
          <w:b/>
          <w:bCs/>
        </w:rPr>
      </w:pPr>
      <w:r>
        <w:rPr>
          <w:b/>
          <w:bCs/>
        </w:rPr>
        <w:t>Capacidade económica da península de Setúbal</w:t>
      </w:r>
    </w:p>
    <w:p w14:paraId="1B24C4A1" w14:textId="77777777" w:rsidR="00F219EB" w:rsidRDefault="00F219EB" w:rsidP="00F219EB">
      <w:pPr>
        <w:spacing w:after="160" w:line="252" w:lineRule="auto"/>
        <w:jc w:val="both"/>
      </w:pPr>
      <w:r>
        <w:t>Apesar de muitos dos postos de trabalho e bens tangíveis não serem elegíveis como despesas para efeitos de quaisquer apoios a Fundos Europeus Estruturais e de Investimento a península de Setúbal desempenha um importante papel na economia portuguesa.</w:t>
      </w:r>
    </w:p>
    <w:p w14:paraId="6C981A52" w14:textId="77777777" w:rsidR="00F219EB" w:rsidRDefault="00F219EB" w:rsidP="00F219EB">
      <w:pPr>
        <w:spacing w:after="160" w:line="252" w:lineRule="auto"/>
        <w:jc w:val="both"/>
      </w:pPr>
      <w:r>
        <w:t>A península de Setúbal contribuiu nos últimos anos entre 6% a 10% das exportações portuguesas. É uma região fortemente industrializada por empresas de todas as dimensões.</w:t>
      </w:r>
    </w:p>
    <w:p w14:paraId="2236A0B8" w14:textId="77777777" w:rsidR="00F219EB" w:rsidRDefault="00F219EB" w:rsidP="00F219EB">
      <w:pPr>
        <w:spacing w:after="160" w:line="252" w:lineRule="auto"/>
        <w:jc w:val="both"/>
      </w:pPr>
      <w:r>
        <w:t>Neste sentido é uma região que contribui quer para o stock líquido de capital país, quer para as exportações portuguesas. Sendo fundamental manter e melhorar o stock líquido de capital e capacidade exportadora para concretizar a retoma económica do país.</w:t>
      </w:r>
    </w:p>
    <w:p w14:paraId="24C08019" w14:textId="77777777" w:rsidR="00F219EB" w:rsidRDefault="00F219EB" w:rsidP="00F219EB">
      <w:pPr>
        <w:spacing w:after="160" w:line="252" w:lineRule="auto"/>
        <w:jc w:val="both"/>
      </w:pPr>
      <w:r>
        <w:t xml:space="preserve">Contudo, o atual contexto afeta gravemente o tecido produtivo da península de Setúbal, uma vez que o acesso desta região a fundos comunitários é limitado. Por esse motivo também a medida do governo </w:t>
      </w:r>
      <w:r>
        <w:lastRenderedPageBreak/>
        <w:t>que realizou adiantamentos e reprogramações de fundos comunitários teve um impacto muito limitado nas empresas da península de Setúbal.</w:t>
      </w:r>
    </w:p>
    <w:p w14:paraId="07FEFCFA" w14:textId="77777777" w:rsidR="00F219EB" w:rsidRDefault="00F219EB" w:rsidP="00F219EB">
      <w:pPr>
        <w:spacing w:after="160" w:line="252" w:lineRule="auto"/>
        <w:jc w:val="both"/>
      </w:pPr>
      <w:r>
        <w:t>Esta medida traduziu-se num apoio à tesouraria das empresas, que foi menor no caso na península de Setúbal, porque quadro de fundos comunitários disponíveis é exíguo.</w:t>
      </w:r>
    </w:p>
    <w:p w14:paraId="5C3BB7A5" w14:textId="77777777" w:rsidR="00F219EB" w:rsidRDefault="00F219EB" w:rsidP="00F219EB">
      <w:pPr>
        <w:spacing w:after="160" w:line="252" w:lineRule="auto"/>
        <w:jc w:val="both"/>
      </w:pPr>
      <w:r>
        <w:t>Desigualdades semelhantes a esta poderão repetir-se. As empresas desta região têm acesso limitado a adiantamentos, reprogramações e eventuais aumentos de níveis de coparticipação dos investimentos que têm em curso. Porque poucos são os investimentos elegíveis para acesso a fundos europeus face às linhas de apoio em execução.</w:t>
      </w:r>
    </w:p>
    <w:p w14:paraId="7A0110F3" w14:textId="77777777" w:rsidR="00F219EB" w:rsidRDefault="00F219EB" w:rsidP="00F219EB">
      <w:pPr>
        <w:spacing w:after="160" w:line="252" w:lineRule="auto"/>
        <w:jc w:val="both"/>
      </w:pPr>
      <w:r>
        <w:t>A atual legislação e regulamentos de acesso a fundos europeus não permite a inclusão de bens em estado de uso e contratos de trabalho realizados em data anterior à candidatura para acesso à linha de apoio do fundo europeu.</w:t>
      </w:r>
    </w:p>
    <w:p w14:paraId="15F43C95" w14:textId="77777777" w:rsidR="00F219EB" w:rsidRDefault="00F219EB" w:rsidP="00F219EB">
      <w:pPr>
        <w:spacing w:after="160" w:line="252" w:lineRule="auto"/>
        <w:jc w:val="both"/>
      </w:pPr>
      <w:r>
        <w:t>Este impedimento afeta gravemente a possibilidade de manter o stock líquido de capital da península de Setúbal, uma vez que investimentos em curso (já iniciados) não são poderão ser apoiados. O risco de perder investimento em meios humanos e materiais afetará a capacidade produtiva da região</w:t>
      </w:r>
    </w:p>
    <w:p w14:paraId="55C4CECF" w14:textId="5E203C31" w:rsidR="00CA52BA" w:rsidRDefault="00F219EB" w:rsidP="00F219EB">
      <w:pPr>
        <w:spacing w:after="160" w:line="252" w:lineRule="auto"/>
        <w:jc w:val="both"/>
      </w:pPr>
      <w:r>
        <w:t>Neste sentido, é fundamental que a península de Setúbal tenha acesso transversal aos Fundos Europeus Estruturais e de Investimento que sejam futuramente disponibilizados.</w:t>
      </w:r>
    </w:p>
    <w:p w14:paraId="7A3EBB41" w14:textId="77777777" w:rsidR="00AE1403" w:rsidRDefault="00AE1403" w:rsidP="00F219EB">
      <w:pPr>
        <w:spacing w:after="160" w:line="252" w:lineRule="auto"/>
        <w:jc w:val="both"/>
      </w:pPr>
    </w:p>
    <w:p w14:paraId="53A2A792" w14:textId="77777777" w:rsidR="00CA52BA" w:rsidRDefault="00CA52BA" w:rsidP="00CA52BA">
      <w:pPr>
        <w:spacing w:after="160" w:line="252" w:lineRule="auto"/>
        <w:jc w:val="both"/>
      </w:pPr>
      <w:r>
        <w:t>Nestes termos, ao abrigo das disposições legais e regimentais aplicáveis, os Deputados abaixo assinados do Grupo Parlamentar do Partido Social Democrata apresentam o presente Projeto de Resolução.</w:t>
      </w:r>
    </w:p>
    <w:p w14:paraId="220368BA" w14:textId="77777777" w:rsidR="00CA52BA" w:rsidRDefault="00CA52BA" w:rsidP="00CA52BA">
      <w:pPr>
        <w:spacing w:after="160" w:line="252" w:lineRule="auto"/>
        <w:jc w:val="both"/>
      </w:pPr>
      <w:r>
        <w:t>A Assembleia da República resolve, ao abrigo do disposto no nº 5 do artigo 166º da Constituição da República Portuguesa, recomendar ao Governo:</w:t>
      </w:r>
    </w:p>
    <w:p w14:paraId="77D5757E" w14:textId="36EE9EA2" w:rsidR="00F219EB" w:rsidRDefault="00F219EB" w:rsidP="00F219EB">
      <w:pPr>
        <w:spacing w:after="160" w:line="252" w:lineRule="auto"/>
        <w:jc w:val="both"/>
      </w:pPr>
      <w:r>
        <w:t xml:space="preserve">1 – Que possibilite o acesso transversal </w:t>
      </w:r>
      <w:r w:rsidR="00227A36" w:rsidRPr="00227A36">
        <w:t>à região conhecida como península de Setúbal</w:t>
      </w:r>
      <w:r w:rsidR="00227A36">
        <w:t xml:space="preserve"> </w:t>
      </w:r>
      <w:r w:rsidR="004B1C2C">
        <w:t xml:space="preserve">a </w:t>
      </w:r>
      <w:r>
        <w:t>Fundos Europeus Estruturais e de Investimento</w:t>
      </w:r>
      <w:r w:rsidR="00227A36">
        <w:t xml:space="preserve"> disponibilizados nos Planos Temáticos Nacionais</w:t>
      </w:r>
      <w:r w:rsidR="004B1C2C">
        <w:t xml:space="preserve"> através da c</w:t>
      </w:r>
      <w:r>
        <w:t>ria</w:t>
      </w:r>
      <w:r w:rsidR="004B1C2C">
        <w:t>ção</w:t>
      </w:r>
      <w:r>
        <w:t xml:space="preserve"> de avisos</w:t>
      </w:r>
      <w:r w:rsidR="0016179D">
        <w:t xml:space="preserve"> que permitam candidaturas atendendo </w:t>
      </w:r>
      <w:r w:rsidR="004B1C2C">
        <w:t>à</w:t>
      </w:r>
      <w:r w:rsidR="0016179D">
        <w:t xml:space="preserve"> diferença de realidades</w:t>
      </w:r>
      <w:r w:rsidR="00227A36">
        <w:t xml:space="preserve"> socioeconómicas</w:t>
      </w:r>
      <w:r w:rsidR="0016179D">
        <w:t xml:space="preserve"> da península de Setúbal comparativamente à restante Área Metropolitana de Lisboa</w:t>
      </w:r>
      <w:r w:rsidR="004B1C2C">
        <w:t>.</w:t>
      </w:r>
    </w:p>
    <w:p w14:paraId="53095F61" w14:textId="5935DF35" w:rsidR="00685723" w:rsidRDefault="004B1C2C" w:rsidP="00227A36">
      <w:pPr>
        <w:jc w:val="both"/>
      </w:pPr>
      <w:r>
        <w:t>2</w:t>
      </w:r>
      <w:r w:rsidR="00F219EB">
        <w:t xml:space="preserve"> – Que o governo</w:t>
      </w:r>
      <w:r w:rsidR="0016179D">
        <w:t xml:space="preserve"> diligencie todos os processos formais que permitam a constituição de uma</w:t>
      </w:r>
      <w:r w:rsidR="00227A36">
        <w:t xml:space="preserve"> </w:t>
      </w:r>
      <w:r w:rsidR="00227A36" w:rsidRPr="00227A36">
        <w:t>Unidade Territorial para fins Estatísticos</w:t>
      </w:r>
      <w:r w:rsidR="00227A36">
        <w:t xml:space="preserve"> </w:t>
      </w:r>
      <w:r w:rsidR="00227A36" w:rsidRPr="00227A36">
        <w:t>NUTS</w:t>
      </w:r>
      <w:r w:rsidR="003E0D33">
        <w:t xml:space="preserve"> III</w:t>
      </w:r>
      <w:r w:rsidR="00227A36" w:rsidRPr="00227A36">
        <w:t xml:space="preserve"> - Península de Setúbal.</w:t>
      </w:r>
      <w:r w:rsidR="0016179D">
        <w:t>,</w:t>
      </w:r>
      <w:r w:rsidR="00F219EB">
        <w:t xml:space="preserve"> indi</w:t>
      </w:r>
      <w:r w:rsidR="0016179D">
        <w:t>cando</w:t>
      </w:r>
      <w:r w:rsidR="00F219EB">
        <w:t xml:space="preserve"> às instituições europeias competentes </w:t>
      </w:r>
      <w:r w:rsidR="0016179D">
        <w:t>essa</w:t>
      </w:r>
      <w:r w:rsidR="00F219EB">
        <w:t xml:space="preserve"> intenção, permitindo assim que existam dados socioeconómicos da região e um enquadramento específico para as políticas p</w:t>
      </w:r>
      <w:r>
        <w:t>ú</w:t>
      </w:r>
      <w:r w:rsidR="00F219EB">
        <w:t>blicas a desenvolver no futuro</w:t>
      </w:r>
      <w:r>
        <w:t>.</w:t>
      </w:r>
    </w:p>
    <w:p w14:paraId="02C0C9D3" w14:textId="390B67C3" w:rsidR="00FD630A" w:rsidRDefault="00FD630A" w:rsidP="00227A36">
      <w:pPr>
        <w:jc w:val="both"/>
      </w:pPr>
    </w:p>
    <w:p w14:paraId="059881F5" w14:textId="2AA85ADF" w:rsidR="00FD630A" w:rsidRDefault="00FD630A" w:rsidP="00227A36">
      <w:pPr>
        <w:jc w:val="both"/>
      </w:pPr>
      <w:r>
        <w:t>Assembleia da República, 11 de maio de 2021</w:t>
      </w:r>
    </w:p>
    <w:p w14:paraId="12942446" w14:textId="58403ADD" w:rsidR="00FD630A" w:rsidRDefault="00FD630A" w:rsidP="00227A36">
      <w:pPr>
        <w:jc w:val="both"/>
      </w:pPr>
    </w:p>
    <w:p w14:paraId="331F1B49" w14:textId="17B2E026" w:rsidR="00FD630A" w:rsidRDefault="00FD630A" w:rsidP="00FD630A">
      <w:pPr>
        <w:jc w:val="center"/>
      </w:pPr>
      <w:r>
        <w:t>As/Os Deputadas/os</w:t>
      </w:r>
    </w:p>
    <w:sectPr w:rsidR="00FD630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1BCA6" w14:textId="77777777" w:rsidR="00771CD7" w:rsidRDefault="00771CD7" w:rsidP="00FD630A">
      <w:r>
        <w:separator/>
      </w:r>
    </w:p>
  </w:endnote>
  <w:endnote w:type="continuationSeparator" w:id="0">
    <w:p w14:paraId="0A6D7CA2" w14:textId="77777777" w:rsidR="00771CD7" w:rsidRDefault="00771CD7" w:rsidP="00FD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A57CB" w14:textId="77777777" w:rsidR="00771CD7" w:rsidRDefault="00771CD7" w:rsidP="00FD630A">
      <w:r>
        <w:separator/>
      </w:r>
    </w:p>
  </w:footnote>
  <w:footnote w:type="continuationSeparator" w:id="0">
    <w:p w14:paraId="232F8BFB" w14:textId="77777777" w:rsidR="00771CD7" w:rsidRDefault="00771CD7" w:rsidP="00FD6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456530"/>
  <w:p w14:paraId="3E29F428" w14:textId="2D479E20" w:rsidR="00FD630A" w:rsidRDefault="00FD630A">
    <w:pPr>
      <w:pStyle w:val="Cabealho"/>
    </w:pPr>
    <w:r>
      <w:object w:dxaOrig="6661" w:dyaOrig="4666" w14:anchorId="4E798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120pt" fillcolor="window">
          <v:imagedata r:id="rId1" o:title=""/>
        </v:shape>
        <o:OLEObject Type="Embed" ProgID="MSPhotoEd.3" ShapeID="_x0000_i1025" DrawAspect="Content" ObjectID="_1682262361" r:id="rId2"/>
      </w:objec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C41E8"/>
    <w:multiLevelType w:val="hybridMultilevel"/>
    <w:tmpl w:val="4E209E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EB"/>
    <w:rsid w:val="000014C0"/>
    <w:rsid w:val="00030430"/>
    <w:rsid w:val="000B313B"/>
    <w:rsid w:val="00150BF9"/>
    <w:rsid w:val="0016179D"/>
    <w:rsid w:val="001937BA"/>
    <w:rsid w:val="00227A36"/>
    <w:rsid w:val="00231658"/>
    <w:rsid w:val="00260150"/>
    <w:rsid w:val="002A7E93"/>
    <w:rsid w:val="002F2D6E"/>
    <w:rsid w:val="003120F9"/>
    <w:rsid w:val="00315AD6"/>
    <w:rsid w:val="0031711E"/>
    <w:rsid w:val="003E0D33"/>
    <w:rsid w:val="00425587"/>
    <w:rsid w:val="00471E65"/>
    <w:rsid w:val="00485D60"/>
    <w:rsid w:val="004B1C2C"/>
    <w:rsid w:val="004B62DF"/>
    <w:rsid w:val="00685723"/>
    <w:rsid w:val="0069228E"/>
    <w:rsid w:val="006A70C9"/>
    <w:rsid w:val="00754750"/>
    <w:rsid w:val="00771CD7"/>
    <w:rsid w:val="00831A13"/>
    <w:rsid w:val="008350DB"/>
    <w:rsid w:val="008822A8"/>
    <w:rsid w:val="00884DAE"/>
    <w:rsid w:val="00891731"/>
    <w:rsid w:val="009803DE"/>
    <w:rsid w:val="009B2428"/>
    <w:rsid w:val="00A456FD"/>
    <w:rsid w:val="00A776A7"/>
    <w:rsid w:val="00AE1403"/>
    <w:rsid w:val="00BB7E78"/>
    <w:rsid w:val="00BC6736"/>
    <w:rsid w:val="00CA52BA"/>
    <w:rsid w:val="00DC0565"/>
    <w:rsid w:val="00E331BE"/>
    <w:rsid w:val="00EC0DC7"/>
    <w:rsid w:val="00F219EB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9ADA49"/>
  <w15:chartTrackingRefBased/>
  <w15:docId w15:val="{50C78E06-7D04-4647-A859-BC188AF5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9EB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62DF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471E65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B7E7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7E7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D63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630A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FD630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630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Resolução</DesignacaoTipoIniciativa>
    <TipoIniciativa xmlns="2e97e158-1a31-4bff-9a0a-f8ebffd34ea8">R</TipoIniciativa>
    <DataDocumento xmlns="2e97e158-1a31-4bff-9a0a-f8ebffd34ea8">2021-05-10T23:00:00+00:00</DataDocumento>
    <IDFase xmlns="2e97e158-1a31-4bff-9a0a-f8ebffd34ea8">0</IDFase>
    <IDIniciativa xmlns="2e97e158-1a31-4bff-9a0a-f8ebffd34ea8">110789</IDIniciativa>
    <TipoDocumento xmlns="2e97e158-1a31-4bff-9a0a-f8ebffd34ea8">Texto</TipoDocumento>
    <NomeOriginalFicheiro xmlns="2e97e158-1a31-4bff-9a0a-f8ebffd34ea8">pjr1262-XIV.docx</NomeOriginalFicheiro>
    <NROrdem xmlns="2e97e158-1a31-4bff-9a0a-f8ebffd34ea8">0</NROrdem>
    <PublicarInternet xmlns="2e97e158-1a31-4bff-9a0a-f8ebffd34ea8">true</PublicarInternet>
    <NRIniciativa xmlns="2e97e158-1a31-4bff-9a0a-f8ebffd34ea8">1262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F878B019-4989-4350-AA62-0C1783ACD0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7A1DAC-E6D2-4948-A90E-F24234BD5E65}"/>
</file>

<file path=customXml/itemProps3.xml><?xml version="1.0" encoding="utf-8"?>
<ds:datastoreItem xmlns:ds="http://schemas.openxmlformats.org/officeDocument/2006/customXml" ds:itemID="{ADB5E409-EF3F-4762-BAE3-49C82165EB59}"/>
</file>

<file path=customXml/itemProps4.xml><?xml version="1.0" encoding="utf-8"?>
<ds:datastoreItem xmlns:ds="http://schemas.openxmlformats.org/officeDocument/2006/customXml" ds:itemID="{CA651636-E318-48FD-B72F-F90DB0754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2057</Words>
  <Characters>11113</Characters>
  <Application>Microsoft Office Word</Application>
  <DocSecurity>4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Nuno Miguel Carvalho</dc:creator>
  <cp:keywords/>
  <dc:description/>
  <cp:lastModifiedBy>Pedro Camacho</cp:lastModifiedBy>
  <cp:revision>2</cp:revision>
  <dcterms:created xsi:type="dcterms:W3CDTF">2021-05-11T17:20:00Z</dcterms:created>
  <dcterms:modified xsi:type="dcterms:W3CDTF">2021-05-11T17:20:00Z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568100</vt:r8>
  </property>
</Properties>
</file>