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95F7" w14:textId="77777777" w:rsidR="002D16BE" w:rsidRDefault="002D16BE" w:rsidP="002D16BE">
      <w:pPr>
        <w:jc w:val="center"/>
        <w:rPr>
          <w:rFonts w:ascii="Tw Cen MT" w:hAnsi="Tw Cen MT" w:cs="Arial"/>
          <w:b/>
          <w:bCs/>
          <w:sz w:val="28"/>
          <w:szCs w:val="28"/>
        </w:rPr>
      </w:pPr>
    </w:p>
    <w:p w14:paraId="0B6A1CED" w14:textId="77777777" w:rsidR="002D16BE" w:rsidRDefault="002D16BE" w:rsidP="002D16BE">
      <w:pPr>
        <w:jc w:val="center"/>
        <w:rPr>
          <w:rFonts w:ascii="Tw Cen MT" w:hAnsi="Tw Cen MT" w:cs="Arial"/>
          <w:b/>
          <w:bCs/>
          <w:sz w:val="28"/>
          <w:szCs w:val="28"/>
        </w:rPr>
      </w:pPr>
    </w:p>
    <w:p w14:paraId="28BAE993" w14:textId="434CBCEA" w:rsidR="002D16BE" w:rsidRPr="00D01039" w:rsidRDefault="002D16BE" w:rsidP="00E252C1">
      <w:pPr>
        <w:jc w:val="center"/>
        <w:rPr>
          <w:rFonts w:ascii="Tw Cen MT" w:hAnsi="Tw Cen MT" w:cs="Arial"/>
          <w:b/>
          <w:bCs/>
          <w:sz w:val="28"/>
          <w:szCs w:val="28"/>
        </w:rPr>
      </w:pPr>
      <w:r w:rsidRPr="00D01039">
        <w:rPr>
          <w:rFonts w:ascii="Tw Cen MT" w:hAnsi="Tw Cen MT" w:cs="Arial"/>
          <w:b/>
          <w:bCs/>
          <w:sz w:val="28"/>
          <w:szCs w:val="28"/>
        </w:rPr>
        <w:t xml:space="preserve">Projeto de voto n.º </w:t>
      </w:r>
      <w:r w:rsidR="00E252C1">
        <w:rPr>
          <w:rFonts w:ascii="Tw Cen MT" w:hAnsi="Tw Cen MT" w:cs="Arial"/>
          <w:b/>
          <w:bCs/>
          <w:sz w:val="28"/>
          <w:szCs w:val="28"/>
        </w:rPr>
        <w:t>690</w:t>
      </w:r>
      <w:r w:rsidRPr="00D01039">
        <w:rPr>
          <w:rFonts w:ascii="Tw Cen MT" w:hAnsi="Tw Cen MT" w:cs="Arial"/>
          <w:b/>
          <w:bCs/>
          <w:sz w:val="28"/>
          <w:szCs w:val="28"/>
        </w:rPr>
        <w:t>/XIV/3.ª</w:t>
      </w:r>
    </w:p>
    <w:p w14:paraId="259F80EC" w14:textId="77777777" w:rsidR="002D16BE" w:rsidRPr="00D01039" w:rsidRDefault="002D16BE" w:rsidP="00E252C1">
      <w:pPr>
        <w:spacing w:line="360" w:lineRule="auto"/>
        <w:ind w:right="284"/>
        <w:jc w:val="center"/>
        <w:rPr>
          <w:rFonts w:ascii="Tw Cen MT" w:hAnsi="Tw Cen MT" w:cs="Arial"/>
          <w:b/>
          <w:bCs/>
          <w:color w:val="000000" w:themeColor="text1"/>
          <w:sz w:val="28"/>
          <w:szCs w:val="28"/>
        </w:rPr>
      </w:pPr>
      <w:r w:rsidRPr="00D01039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Voto de Pesar pelo assassinato de Sir David </w:t>
      </w:r>
      <w:proofErr w:type="spellStart"/>
      <w:r w:rsidRPr="00D01039">
        <w:rPr>
          <w:rFonts w:ascii="Tw Cen MT" w:hAnsi="Tw Cen MT" w:cs="Arial"/>
          <w:b/>
          <w:bCs/>
          <w:color w:val="000000" w:themeColor="text1"/>
          <w:sz w:val="28"/>
          <w:szCs w:val="28"/>
        </w:rPr>
        <w:t>Amess</w:t>
      </w:r>
      <w:proofErr w:type="spellEnd"/>
    </w:p>
    <w:p w14:paraId="7321B360" w14:textId="77777777" w:rsidR="002D16BE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6EEB5B50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561B0C90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Sir David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Amess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, deputado britânico do Partido Conservador, morreu após ter sido esfaqueado no passado dia 15 de outubro, numa audiência com eleitores na Igreja Metodista de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Belfairs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, em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Leigh-on-Sea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, num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acto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classificado como terrorista pelo Governo Britânico e que, obviamente, é motivo de especial preocupação e repulsa para todos os democratas, e, em particular para aqueles que como nós, também são representantes do povo. Sir David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Amess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serviu dedicadamente os seus eleitores, representava o círculo de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Southend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West (condado de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Essex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) desde 1997, tendo sido eleito para o Parlamento britânico, pela primeira vez, em 1983. </w:t>
      </w:r>
    </w:p>
    <w:p w14:paraId="66BDDDEE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Nascido em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Plainstow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,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Essex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, a 26 de março de 1952, Sir David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Amess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estudou Economia na Universidade de Bournemouth, tendo desempenhado funções de professor primário. Católico, de 69 anos, casado, deixa agora cinco filhos. </w:t>
      </w:r>
    </w:p>
    <w:p w14:paraId="1CF7E9B3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Eleito pelo Partido Conservador, em 1982, para servir como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Councillor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pelo círculo eleitoral de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Redbridge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>, foi apontado pela população de Basildon, sua terra predileta, para desempenhar esta mesma função em 1983.</w:t>
      </w:r>
    </w:p>
    <w:p w14:paraId="6DCD43A1" w14:textId="77777777" w:rsidR="002D16BE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76A85BE4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33DA22F4" w14:textId="77777777" w:rsidR="002D16BE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D01039">
        <w:rPr>
          <w:rFonts w:ascii="Tw Cen MT" w:hAnsi="Tw Cen MT" w:cs="Arial"/>
          <w:color w:val="000000" w:themeColor="text1"/>
          <w:sz w:val="28"/>
          <w:szCs w:val="28"/>
        </w:rPr>
        <w:lastRenderedPageBreak/>
        <w:t xml:space="preserve">O primeiro-ministro, Boris Jonhson, elogiou Sir David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Amess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como "uma das pessoas mais gentis e generosas na Política", conhecido pela "redação de leis para proteger os mais vulneráveis". Destacou-se nomeadamente pelo seu dedicado envolvimento na promulgação do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Protection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Against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Cruel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Tethering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Act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, de 1988, em luta contra os maus-tratos animais e do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Warm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Homes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and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Energy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Conservation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Act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>, de 2000, contra a pobreza energética.</w:t>
      </w:r>
    </w:p>
    <w:p w14:paraId="527BBE7C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70477EB3" w14:textId="77777777" w:rsidR="002D16BE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>
        <w:rPr>
          <w:rFonts w:ascii="Tw Cen MT" w:hAnsi="Tw Cen MT" w:cs="Arial"/>
          <w:color w:val="000000" w:themeColor="text1"/>
          <w:sz w:val="28"/>
          <w:szCs w:val="28"/>
        </w:rPr>
        <w:t>Um</w:t>
      </w:r>
      <w:r w:rsidRPr="009B1679">
        <w:rPr>
          <w:rFonts w:ascii="Tw Cen MT" w:hAnsi="Tw Cen MT" w:cs="Arial"/>
          <w:color w:val="000000" w:themeColor="text1"/>
          <w:sz w:val="28"/>
          <w:szCs w:val="28"/>
        </w:rPr>
        <w:t xml:space="preserve"> atentado contra um </w:t>
      </w:r>
      <w:r>
        <w:rPr>
          <w:rFonts w:ascii="Tw Cen MT" w:hAnsi="Tw Cen MT" w:cs="Arial"/>
          <w:color w:val="000000" w:themeColor="text1"/>
          <w:sz w:val="28"/>
          <w:szCs w:val="28"/>
        </w:rPr>
        <w:t>D</w:t>
      </w:r>
      <w:r w:rsidRPr="009B1679">
        <w:rPr>
          <w:rFonts w:ascii="Tw Cen MT" w:hAnsi="Tw Cen MT" w:cs="Arial"/>
          <w:color w:val="000000" w:themeColor="text1"/>
          <w:sz w:val="28"/>
          <w:szCs w:val="28"/>
        </w:rPr>
        <w:t>eputado é sempre um atentado contra a própria democracia</w:t>
      </w:r>
      <w:r>
        <w:rPr>
          <w:rFonts w:ascii="Tw Cen MT" w:hAnsi="Tw Cen MT" w:cs="Arial"/>
          <w:color w:val="000000" w:themeColor="text1"/>
          <w:sz w:val="28"/>
          <w:szCs w:val="28"/>
        </w:rPr>
        <w:t>.</w:t>
      </w:r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>
        <w:rPr>
          <w:rFonts w:ascii="Tw Cen MT" w:hAnsi="Tw Cen MT" w:cs="Arial"/>
          <w:color w:val="000000" w:themeColor="text1"/>
          <w:sz w:val="28"/>
          <w:szCs w:val="28"/>
        </w:rPr>
        <w:t>N</w:t>
      </w:r>
      <w:r w:rsidRPr="00D01039">
        <w:rPr>
          <w:rFonts w:ascii="Tw Cen MT" w:hAnsi="Tw Cen MT" w:cs="Arial"/>
          <w:color w:val="000000" w:themeColor="text1"/>
          <w:sz w:val="28"/>
          <w:szCs w:val="28"/>
        </w:rPr>
        <w:t>enhuma diferença de opinião, disputa ideológica, desentendimento pessoal, pode, em momento algum, justificar a violência, muito menos um ato tão hediondo e cruel como o assassinato de um servidor público</w:t>
      </w:r>
      <w:r>
        <w:rPr>
          <w:rFonts w:ascii="Tw Cen MT" w:hAnsi="Tw Cen MT" w:cs="Arial"/>
          <w:color w:val="000000" w:themeColor="text1"/>
          <w:sz w:val="28"/>
          <w:szCs w:val="28"/>
        </w:rPr>
        <w:t>.</w:t>
      </w:r>
    </w:p>
    <w:p w14:paraId="01D48933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51A019DB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Deste modo, a Assembleia da República, reunida em sessão plenária, condena profundamente o vil e cobarde assassinato de Sir David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Amess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 xml:space="preserve">, assim como todas as formas de atentados à vida humana, transmitindo à sua Família e Amigos, aos representantes colegas de </w:t>
      </w:r>
      <w:proofErr w:type="spellStart"/>
      <w:r w:rsidRPr="00D01039">
        <w:rPr>
          <w:rFonts w:ascii="Tw Cen MT" w:hAnsi="Tw Cen MT" w:cs="Arial"/>
          <w:color w:val="000000" w:themeColor="text1"/>
          <w:sz w:val="28"/>
          <w:szCs w:val="28"/>
        </w:rPr>
        <w:t>Amess</w:t>
      </w:r>
      <w:proofErr w:type="spellEnd"/>
      <w:r w:rsidRPr="00D01039">
        <w:rPr>
          <w:rFonts w:ascii="Tw Cen MT" w:hAnsi="Tw Cen MT" w:cs="Arial"/>
          <w:color w:val="000000" w:themeColor="text1"/>
          <w:sz w:val="28"/>
          <w:szCs w:val="28"/>
        </w:rPr>
        <w:t>, ao Partido Conservador inglês e a todos os deputados do Parlamento inglês, bem como à população do Reino Unido, as mais sentidas condolências.</w:t>
      </w:r>
    </w:p>
    <w:p w14:paraId="060CC679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/>
          <w:szCs w:val="24"/>
        </w:rPr>
      </w:pPr>
    </w:p>
    <w:p w14:paraId="3326C741" w14:textId="77777777" w:rsidR="002D16BE" w:rsidRPr="00D01039" w:rsidRDefault="002D16BE" w:rsidP="007015DE">
      <w:pPr>
        <w:spacing w:line="360" w:lineRule="auto"/>
        <w:ind w:right="284"/>
        <w:jc w:val="both"/>
        <w:rPr>
          <w:rFonts w:ascii="Tw Cen MT" w:hAnsi="Tw Cen MT" w:cs="Arial"/>
          <w:sz w:val="28"/>
          <w:szCs w:val="28"/>
        </w:rPr>
      </w:pPr>
      <w:r w:rsidRPr="00D01039">
        <w:rPr>
          <w:rFonts w:ascii="Tw Cen MT" w:hAnsi="Tw Cen MT" w:cs="Arial"/>
          <w:sz w:val="28"/>
          <w:szCs w:val="28"/>
        </w:rPr>
        <w:t xml:space="preserve">Palácio de São Bento, </w:t>
      </w:r>
      <w:r>
        <w:rPr>
          <w:rFonts w:ascii="Tw Cen MT" w:hAnsi="Tw Cen MT" w:cs="Arial"/>
          <w:sz w:val="28"/>
          <w:szCs w:val="28"/>
        </w:rPr>
        <w:t>20</w:t>
      </w:r>
      <w:r w:rsidRPr="00D01039">
        <w:rPr>
          <w:rFonts w:ascii="Tw Cen MT" w:hAnsi="Tw Cen MT" w:cs="Arial"/>
          <w:sz w:val="28"/>
          <w:szCs w:val="28"/>
        </w:rPr>
        <w:t xml:space="preserve"> de </w:t>
      </w:r>
      <w:r>
        <w:rPr>
          <w:rFonts w:ascii="Tw Cen MT" w:hAnsi="Tw Cen MT" w:cs="Arial"/>
          <w:sz w:val="28"/>
          <w:szCs w:val="28"/>
        </w:rPr>
        <w:t>outubro</w:t>
      </w:r>
      <w:r w:rsidRPr="00D01039">
        <w:rPr>
          <w:rFonts w:ascii="Tw Cen MT" w:hAnsi="Tw Cen MT" w:cs="Arial"/>
          <w:sz w:val="28"/>
          <w:szCs w:val="28"/>
        </w:rPr>
        <w:t xml:space="preserve"> de 2021</w:t>
      </w:r>
    </w:p>
    <w:p w14:paraId="71B6E466" w14:textId="77777777" w:rsidR="002D16BE" w:rsidRDefault="002D16BE" w:rsidP="007015DE">
      <w:pPr>
        <w:spacing w:after="200" w:line="276" w:lineRule="auto"/>
        <w:jc w:val="both"/>
        <w:rPr>
          <w:rFonts w:ascii="Tw Cen MT" w:hAnsi="Tw Cen MT" w:cs="Arial"/>
          <w:sz w:val="28"/>
          <w:szCs w:val="28"/>
        </w:rPr>
      </w:pPr>
    </w:p>
    <w:p w14:paraId="10650A74" w14:textId="77777777" w:rsidR="002D16BE" w:rsidRPr="00D01039" w:rsidRDefault="002D16BE" w:rsidP="007015DE">
      <w:pPr>
        <w:spacing w:after="200" w:line="276" w:lineRule="auto"/>
        <w:jc w:val="both"/>
        <w:rPr>
          <w:rFonts w:ascii="Tw Cen MT" w:hAnsi="Tw Cen MT" w:cs="Arial"/>
          <w:sz w:val="28"/>
          <w:szCs w:val="28"/>
        </w:rPr>
      </w:pPr>
      <w:r w:rsidRPr="00D01039">
        <w:rPr>
          <w:rFonts w:ascii="Tw Cen MT" w:hAnsi="Tw Cen MT" w:cs="Arial"/>
          <w:sz w:val="28"/>
          <w:szCs w:val="28"/>
        </w:rPr>
        <w:t>O Presidente da Comissão de Negócios Estrangeiros e Comunidades Portuguesas, Sérgio Sousa Pinto</w:t>
      </w:r>
    </w:p>
    <w:p w14:paraId="3C85DC49" w14:textId="77777777" w:rsidR="006A2B92" w:rsidRDefault="006A2B92" w:rsidP="007015DE">
      <w:pPr>
        <w:jc w:val="both"/>
      </w:pPr>
    </w:p>
    <w:sectPr w:rsidR="006A2B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A8FF" w14:textId="77777777" w:rsidR="00E959C3" w:rsidRDefault="00E959C3" w:rsidP="00E959C3">
      <w:pPr>
        <w:spacing w:after="0" w:line="240" w:lineRule="auto"/>
      </w:pPr>
      <w:r>
        <w:separator/>
      </w:r>
    </w:p>
  </w:endnote>
  <w:endnote w:type="continuationSeparator" w:id="0">
    <w:p w14:paraId="6950FEC7" w14:textId="77777777" w:rsidR="00E959C3" w:rsidRDefault="00E959C3" w:rsidP="00E9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A2B9" w14:textId="77777777" w:rsidR="00E959C3" w:rsidRDefault="00E959C3" w:rsidP="00E959C3">
      <w:pPr>
        <w:spacing w:after="0" w:line="240" w:lineRule="auto"/>
      </w:pPr>
      <w:r>
        <w:separator/>
      </w:r>
    </w:p>
  </w:footnote>
  <w:footnote w:type="continuationSeparator" w:id="0">
    <w:p w14:paraId="2CF947C2" w14:textId="77777777" w:rsidR="00E959C3" w:rsidRDefault="00E959C3" w:rsidP="00E9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3274" w14:textId="77777777" w:rsidR="00E959C3" w:rsidRPr="00E959C3" w:rsidRDefault="00E959C3" w:rsidP="00E959C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 w:rsidRPr="00E959C3">
      <w:rPr>
        <w:rFonts w:ascii="Arial Narrow" w:eastAsia="Calibri" w:hAnsi="Arial Narrow" w:cs="Arial"/>
        <w:b/>
        <w:noProof/>
        <w:color w:val="663300"/>
        <w:sz w:val="18"/>
        <w:szCs w:val="18"/>
        <w:lang w:eastAsia="pt-PT"/>
      </w:rPr>
      <w:drawing>
        <wp:inline distT="0" distB="0" distL="0" distR="0" wp14:anchorId="68A2DBF3" wp14:editId="4ADCE027">
          <wp:extent cx="1571074" cy="460375"/>
          <wp:effectExtent l="0" t="0" r="0" b="0"/>
          <wp:docPr id="10" name="Imagem 10" descr="logo_A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_A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lum bright="13000" contrast="1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892" cy="466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17A22" w14:textId="77777777" w:rsidR="00E959C3" w:rsidRPr="00E959C3" w:rsidRDefault="00E959C3" w:rsidP="00E959C3">
    <w:pPr>
      <w:pBdr>
        <w:bottom w:val="single" w:sz="4" w:space="1" w:color="auto"/>
      </w:pBdr>
      <w:spacing w:after="0" w:line="360" w:lineRule="auto"/>
      <w:jc w:val="center"/>
      <w:rPr>
        <w:rFonts w:ascii="Arial Narrow" w:eastAsia="Calibri" w:hAnsi="Arial Narrow" w:cs="Arial"/>
        <w:b/>
        <w:color w:val="404040" w:themeColor="text1" w:themeTint="BF"/>
      </w:rPr>
    </w:pPr>
    <w:r w:rsidRPr="00E959C3">
      <w:rPr>
        <w:rFonts w:ascii="Arial Narrow" w:eastAsia="Calibri" w:hAnsi="Arial Narrow" w:cs="Arial"/>
        <w:b/>
        <w:color w:val="404040" w:themeColor="text1" w:themeTint="BF"/>
      </w:rPr>
      <w:t>Comissão de Negócios Estrangeiros e Comunidades Portuguesas</w:t>
    </w:r>
  </w:p>
  <w:p w14:paraId="05F75D12" w14:textId="77777777" w:rsidR="00E959C3" w:rsidRDefault="00E959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05"/>
    <w:rsid w:val="002D16BE"/>
    <w:rsid w:val="005C0056"/>
    <w:rsid w:val="006A2B92"/>
    <w:rsid w:val="007015DE"/>
    <w:rsid w:val="00925519"/>
    <w:rsid w:val="00925BE8"/>
    <w:rsid w:val="00A54E0A"/>
    <w:rsid w:val="00E252C1"/>
    <w:rsid w:val="00E959C3"/>
    <w:rsid w:val="00EF589E"/>
    <w:rsid w:val="00F10100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6E68"/>
  <w15:chartTrackingRefBased/>
  <w15:docId w15:val="{8FAEC12B-A86D-4028-92CE-C90E6E3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92"/>
    <w:pPr>
      <w:spacing w:line="254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A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2B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E9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9C3"/>
  </w:style>
  <w:style w:type="paragraph" w:styleId="Rodap">
    <w:name w:val="footer"/>
    <w:basedOn w:val="Normal"/>
    <w:link w:val="RodapCarter"/>
    <w:uiPriority w:val="99"/>
    <w:unhideWhenUsed/>
    <w:rsid w:val="00E9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690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2021-10-19T23:00:00+00:00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116896</IDActividade>
    <Sessao xmlns="811b5d06-fec1-4dad-b9db-e7bbb2726bab">3ª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167818F-537F-4072-9E37-AC936A98F1E4}"/>
</file>

<file path=customXml/itemProps2.xml><?xml version="1.0" encoding="utf-8"?>
<ds:datastoreItem xmlns:ds="http://schemas.openxmlformats.org/officeDocument/2006/customXml" ds:itemID="{4432A6DD-6B96-4CCB-9080-4E465FBD9CC6}"/>
</file>

<file path=customXml/itemProps3.xml><?xml version="1.0" encoding="utf-8"?>
<ds:datastoreItem xmlns:ds="http://schemas.openxmlformats.org/officeDocument/2006/customXml" ds:itemID="{A03E23BB-AFB2-4D6E-A532-1220ECE1F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Raúl Oliveira</dc:creator>
  <cp:keywords/>
  <dc:description/>
  <cp:lastModifiedBy>Prudência Cardoso</cp:lastModifiedBy>
  <cp:revision>2</cp:revision>
  <dcterms:created xsi:type="dcterms:W3CDTF">2021-10-20T14:34:00Z</dcterms:created>
  <dcterms:modified xsi:type="dcterms:W3CDTF">2021-10-20T14:34:00Z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265800</vt:r8>
  </property>
</Properties>
</file>