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1D7F" w14:textId="77777777" w:rsidR="0061526C" w:rsidRDefault="0098254A" w:rsidP="0061526C">
      <w:pPr>
        <w:tabs>
          <w:tab w:val="left" w:pos="709"/>
        </w:tabs>
        <w:spacing w:line="360" w:lineRule="auto"/>
        <w:jc w:val="center"/>
        <w:rPr>
          <w:i/>
        </w:rPr>
      </w:pPr>
      <w:bookmarkStart w:id="0" w:name="_GoBack"/>
      <w:bookmarkEnd w:id="0"/>
      <w:r>
        <w:rPr>
          <w:noProof/>
          <w:sz w:val="28"/>
          <w:szCs w:val="18"/>
        </w:rPr>
        <w:drawing>
          <wp:anchor distT="0" distB="0" distL="114300" distR="114300" simplePos="0" relativeHeight="251657728" behindDoc="0" locked="0" layoutInCell="1" allowOverlap="1" wp14:anchorId="162AA22F" wp14:editId="7C9C9925">
            <wp:simplePos x="0" y="0"/>
            <wp:positionH relativeFrom="column">
              <wp:posOffset>2204720</wp:posOffset>
            </wp:positionH>
            <wp:positionV relativeFrom="paragraph">
              <wp:posOffset>-595630</wp:posOffset>
            </wp:positionV>
            <wp:extent cx="1311910" cy="847725"/>
            <wp:effectExtent l="19050" t="0" r="2540" b="0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5A60EF" w14:textId="77777777" w:rsidR="0061526C" w:rsidRPr="00AC4502" w:rsidRDefault="0061526C" w:rsidP="0061526C">
      <w:pPr>
        <w:tabs>
          <w:tab w:val="left" w:pos="709"/>
        </w:tabs>
        <w:spacing w:line="360" w:lineRule="auto"/>
        <w:jc w:val="center"/>
        <w:rPr>
          <w:b/>
          <w:i/>
          <w:sz w:val="32"/>
          <w:szCs w:val="32"/>
        </w:rPr>
      </w:pPr>
      <w:r w:rsidRPr="00AC4502">
        <w:rPr>
          <w:i/>
        </w:rPr>
        <w:t>Grupo Parlamentar</w:t>
      </w:r>
    </w:p>
    <w:p w14:paraId="64459BD2" w14:textId="77777777" w:rsidR="0061526C" w:rsidRPr="00483206" w:rsidRDefault="0061526C" w:rsidP="00483206">
      <w:pPr>
        <w:pStyle w:val="Padro"/>
        <w:spacing w:before="120" w:line="360" w:lineRule="auto"/>
        <w:ind w:firstLine="709"/>
        <w:jc w:val="center"/>
        <w:rPr>
          <w:rFonts w:ascii="Cambria" w:hAnsi="Cambria"/>
          <w:b/>
          <w:bCs/>
          <w:sz w:val="28"/>
        </w:rPr>
      </w:pPr>
    </w:p>
    <w:p w14:paraId="53A0A750" w14:textId="2BEA67D7" w:rsidR="00483206" w:rsidRDefault="0073309D" w:rsidP="00483206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PROJETO DE RESOLUÇÃO</w:t>
      </w:r>
      <w:r w:rsidRPr="00483206">
        <w:rPr>
          <w:rFonts w:ascii="Cambria" w:hAnsi="Cambria"/>
          <w:b/>
          <w:sz w:val="28"/>
          <w:szCs w:val="24"/>
        </w:rPr>
        <w:t xml:space="preserve"> </w:t>
      </w:r>
      <w:r w:rsidR="00483206" w:rsidRPr="00483206">
        <w:rPr>
          <w:rFonts w:ascii="Cambria" w:hAnsi="Cambria"/>
          <w:b/>
          <w:sz w:val="28"/>
          <w:szCs w:val="24"/>
        </w:rPr>
        <w:t xml:space="preserve">Nº </w:t>
      </w:r>
      <w:r w:rsidR="004F4B58">
        <w:rPr>
          <w:rFonts w:ascii="Cambria" w:hAnsi="Cambria"/>
          <w:b/>
          <w:sz w:val="28"/>
          <w:szCs w:val="24"/>
        </w:rPr>
        <w:t>787</w:t>
      </w:r>
      <w:r w:rsidR="00483206" w:rsidRPr="00483206">
        <w:rPr>
          <w:rFonts w:ascii="Cambria" w:hAnsi="Cambria"/>
          <w:b/>
          <w:sz w:val="28"/>
          <w:szCs w:val="24"/>
        </w:rPr>
        <w:t>/X</w:t>
      </w:r>
      <w:r w:rsidR="0098254A">
        <w:rPr>
          <w:rFonts w:ascii="Cambria" w:hAnsi="Cambria"/>
          <w:b/>
          <w:sz w:val="28"/>
          <w:szCs w:val="24"/>
        </w:rPr>
        <w:t>I</w:t>
      </w:r>
      <w:r w:rsidR="00B855B1">
        <w:rPr>
          <w:rFonts w:ascii="Cambria" w:hAnsi="Cambria"/>
          <w:b/>
          <w:sz w:val="28"/>
          <w:szCs w:val="24"/>
        </w:rPr>
        <w:t>V</w:t>
      </w:r>
      <w:r w:rsidR="00483206" w:rsidRPr="00483206">
        <w:rPr>
          <w:rFonts w:ascii="Cambria" w:hAnsi="Cambria"/>
          <w:b/>
          <w:sz w:val="28"/>
          <w:szCs w:val="24"/>
        </w:rPr>
        <w:t>/</w:t>
      </w:r>
      <w:r w:rsidR="00735C33">
        <w:rPr>
          <w:rFonts w:ascii="Cambria" w:hAnsi="Cambria"/>
          <w:b/>
          <w:sz w:val="28"/>
          <w:szCs w:val="24"/>
        </w:rPr>
        <w:t>2</w:t>
      </w:r>
      <w:r w:rsidR="007E15BA">
        <w:rPr>
          <w:rFonts w:ascii="Cambria" w:hAnsi="Cambria"/>
          <w:b/>
          <w:sz w:val="28"/>
          <w:szCs w:val="24"/>
        </w:rPr>
        <w:t>.</w:t>
      </w:r>
      <w:r w:rsidR="00483206" w:rsidRPr="00483206">
        <w:rPr>
          <w:rFonts w:ascii="Cambria" w:hAnsi="Cambria"/>
          <w:b/>
          <w:sz w:val="28"/>
          <w:szCs w:val="24"/>
        </w:rPr>
        <w:t>ª</w:t>
      </w:r>
    </w:p>
    <w:p w14:paraId="553F7F5A" w14:textId="77777777" w:rsidR="00483206" w:rsidRDefault="00483206" w:rsidP="00483206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</w:p>
    <w:p w14:paraId="709805F6" w14:textId="2A62E24F" w:rsidR="00483206" w:rsidRPr="00483206" w:rsidRDefault="00735C33" w:rsidP="00483206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PROMOVE A FORMAÇÃO PROFISSIONAL E O COMBATE À PRECARIEDADE NO SETOR DA PESCA</w:t>
      </w:r>
    </w:p>
    <w:p w14:paraId="13299639" w14:textId="77777777" w:rsidR="00483206" w:rsidRPr="00483206" w:rsidRDefault="00483206" w:rsidP="00483206">
      <w:pPr>
        <w:spacing w:before="24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0F7B13DC" w14:textId="253BA30A" w:rsidR="00735C33" w:rsidRPr="00735C33" w:rsidRDefault="00735C33" w:rsidP="00735C3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 xml:space="preserve">O setor da pesca em Portugal abrange um conjunto variado de artes, embarcações e estruturas organizativas. Segundo o Instituto Nacional de Estatística, no final de 2019 encontravam-se registados 14 617 pescadores, distribuídos por 3 902 embarcações licenciadas e associadas a 46 portos de referência. Do total de profissionais matriculados, a maioria está inscrita na pesca polivalente (65,1%), seguindo-se o cerco (13,3%), a pesca em águas interiores (11,2%) e o arrasto (10,3%). Os profissionais da pesca associam-se em 17 organizações de produtores e mais de 50 associações de pescadores espalhadas pelo Continente e pelas regiões autónomas dos Açores e da Madeira. </w:t>
      </w:r>
    </w:p>
    <w:p w14:paraId="7FB595EA" w14:textId="72615880" w:rsidR="00735C33" w:rsidRPr="00735C33" w:rsidRDefault="00735C33" w:rsidP="00735C3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 xml:space="preserve">O universo das pescas no país é diverso e heterogéneo, mas a precariedade das relações laborais é uma característica comum no setor. Os vínculos laborais entre armadores e pescadores são frequentemente desprovidos de contrato e muitas vezes assentes em acordos informais, como a divisão em partes ou quinhões dos proveitos das capturas. A informalidade e precariedade do trabalho nas pescas prejudicam os pescadores, deixando-os desprotegidos e suscetíveis ao abuso patronal. Os apoios públicos ao setor da pesca devem beneficiar apenas aqueles que </w:t>
      </w:r>
      <w:r w:rsidR="007E15BA">
        <w:rPr>
          <w:rFonts w:ascii="Cambria" w:hAnsi="Cambria"/>
          <w:sz w:val="24"/>
          <w:szCs w:val="24"/>
        </w:rPr>
        <w:t>garantem</w:t>
      </w:r>
      <w:r w:rsidRPr="00735C33">
        <w:rPr>
          <w:rFonts w:ascii="Cambria" w:hAnsi="Cambria"/>
          <w:sz w:val="24"/>
          <w:szCs w:val="24"/>
        </w:rPr>
        <w:t xml:space="preserve"> trabalho estável e com direitos.</w:t>
      </w:r>
    </w:p>
    <w:p w14:paraId="74453EA5" w14:textId="1B8D1399" w:rsidR="00735C33" w:rsidRPr="00735C33" w:rsidRDefault="00735C33" w:rsidP="00735C3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 xml:space="preserve">Além da precariedade, o trabalho nas pescas acarreta sérios riscos para os trabalhadores. A prática de horários de trabalho longos, imprevisíveis e erráticos, associada a condições </w:t>
      </w:r>
      <w:r w:rsidR="00680DE3" w:rsidRPr="005C54E8">
        <w:rPr>
          <w:rFonts w:ascii="Cambria" w:hAnsi="Cambria"/>
          <w:sz w:val="24"/>
          <w:szCs w:val="24"/>
        </w:rPr>
        <w:t>meteorológicas</w:t>
      </w:r>
      <w:r w:rsidRPr="005C54E8">
        <w:rPr>
          <w:rFonts w:ascii="Cambria" w:hAnsi="Cambria"/>
          <w:sz w:val="24"/>
          <w:szCs w:val="24"/>
        </w:rPr>
        <w:t xml:space="preserve"> </w:t>
      </w:r>
      <w:r w:rsidRPr="00735C33">
        <w:rPr>
          <w:rFonts w:ascii="Cambria" w:hAnsi="Cambria"/>
          <w:sz w:val="24"/>
          <w:szCs w:val="24"/>
        </w:rPr>
        <w:t>instáveis</w:t>
      </w:r>
      <w:r w:rsidR="007E15BA">
        <w:rPr>
          <w:rFonts w:ascii="Cambria" w:hAnsi="Cambria"/>
          <w:sz w:val="24"/>
          <w:szCs w:val="24"/>
        </w:rPr>
        <w:t>,</w:t>
      </w:r>
      <w:r w:rsidRPr="00735C33">
        <w:rPr>
          <w:rFonts w:ascii="Cambria" w:hAnsi="Cambria"/>
          <w:sz w:val="24"/>
          <w:szCs w:val="24"/>
        </w:rPr>
        <w:t xml:space="preserve"> provoca efeitos muito negativos nas condições de saúde e segurança no trabalho dos profissionais da pesca. Em 2019, registaram-se 743 feridos e duas </w:t>
      </w:r>
      <w:r w:rsidRPr="005C54E8">
        <w:rPr>
          <w:rFonts w:ascii="Cambria" w:hAnsi="Cambria"/>
          <w:sz w:val="24"/>
          <w:szCs w:val="24"/>
        </w:rPr>
        <w:t xml:space="preserve">vítimas mortais, resultado de naufrágios, quedas à água </w:t>
      </w:r>
      <w:r w:rsidR="00C02110" w:rsidRPr="005C54E8">
        <w:rPr>
          <w:rFonts w:ascii="Cambria" w:hAnsi="Cambria"/>
          <w:sz w:val="24"/>
          <w:szCs w:val="24"/>
        </w:rPr>
        <w:t>e</w:t>
      </w:r>
      <w:r w:rsidRPr="005C54E8">
        <w:rPr>
          <w:rFonts w:ascii="Cambria" w:hAnsi="Cambria"/>
          <w:sz w:val="24"/>
          <w:szCs w:val="24"/>
        </w:rPr>
        <w:t xml:space="preserve"> acidentes a bordo. Para proteger estes trabalhadores, as entidades competentes devem realizar ações inspetivas</w:t>
      </w:r>
      <w:r w:rsidR="00680DE3" w:rsidRPr="005C54E8">
        <w:rPr>
          <w:rFonts w:ascii="Cambria" w:hAnsi="Cambria"/>
          <w:sz w:val="24"/>
          <w:szCs w:val="24"/>
        </w:rPr>
        <w:t xml:space="preserve"> </w:t>
      </w:r>
      <w:r w:rsidR="00680DE3" w:rsidRPr="005C54E8">
        <w:rPr>
          <w:rFonts w:ascii="Cambria" w:hAnsi="Cambria"/>
          <w:sz w:val="24"/>
          <w:szCs w:val="24"/>
        </w:rPr>
        <w:lastRenderedPageBreak/>
        <w:t>e de sensibilização</w:t>
      </w:r>
      <w:r w:rsidRPr="00735C33">
        <w:rPr>
          <w:rFonts w:ascii="Cambria" w:hAnsi="Cambria"/>
          <w:sz w:val="24"/>
          <w:szCs w:val="24"/>
        </w:rPr>
        <w:t xml:space="preserve"> recorrentes e sistemáticas por forma a que as exigências de saúde e segurança a bordo sejam garantidas.</w:t>
      </w:r>
    </w:p>
    <w:p w14:paraId="1F813DE6" w14:textId="02A5836D" w:rsidR="00735C33" w:rsidRPr="00735C33" w:rsidRDefault="00735C33" w:rsidP="00735C3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>Os profissionais da pesca apresentam, de uma forma geral, um nível baixo de escolaridade. Os Censos de 2011 revelaram que uma elevada proporção (41,3%) destes trabalhadores possui apenas o 4.º ano de escolaridade e uma percentagem significativa (8,5%) não completou qualquer grau de ensino.</w:t>
      </w:r>
      <w:r w:rsidR="000764B7">
        <w:rPr>
          <w:rFonts w:ascii="Cambria" w:hAnsi="Cambria"/>
          <w:sz w:val="24"/>
          <w:szCs w:val="24"/>
        </w:rPr>
        <w:t xml:space="preserve"> Existem poucos dados acerca das qualificações</w:t>
      </w:r>
      <w:r w:rsidR="00114991">
        <w:rPr>
          <w:rFonts w:ascii="Cambria" w:hAnsi="Cambria"/>
          <w:sz w:val="24"/>
          <w:szCs w:val="24"/>
        </w:rPr>
        <w:t xml:space="preserve"> e das necessidades de novas competências profissionais.</w:t>
      </w:r>
      <w:r w:rsidR="000764B7">
        <w:rPr>
          <w:rFonts w:ascii="Cambria" w:hAnsi="Cambria"/>
          <w:sz w:val="24"/>
          <w:szCs w:val="24"/>
        </w:rPr>
        <w:t xml:space="preserve"> </w:t>
      </w:r>
      <w:r w:rsidRPr="00735C33">
        <w:rPr>
          <w:rFonts w:ascii="Cambria" w:hAnsi="Cambria"/>
          <w:sz w:val="24"/>
          <w:szCs w:val="24"/>
        </w:rPr>
        <w:t xml:space="preserve"> São necessárias políticas públicas que promovam a formação profissional destes trabalhadores, </w:t>
      </w:r>
      <w:r w:rsidR="00114991">
        <w:rPr>
          <w:rFonts w:ascii="Cambria" w:hAnsi="Cambria"/>
          <w:sz w:val="24"/>
          <w:szCs w:val="24"/>
        </w:rPr>
        <w:t xml:space="preserve">em articulação com os períodos de defeso, </w:t>
      </w:r>
      <w:r w:rsidRPr="00735C33">
        <w:rPr>
          <w:rFonts w:ascii="Cambria" w:hAnsi="Cambria"/>
          <w:sz w:val="24"/>
          <w:szCs w:val="24"/>
        </w:rPr>
        <w:t xml:space="preserve">capacitando-os não só para as situações específicas e riscos da sua profissão, como também para os desafios colocados </w:t>
      </w:r>
      <w:r w:rsidR="00C02110">
        <w:rPr>
          <w:rFonts w:ascii="Cambria" w:hAnsi="Cambria"/>
          <w:sz w:val="24"/>
          <w:szCs w:val="24"/>
        </w:rPr>
        <w:t xml:space="preserve">pela </w:t>
      </w:r>
      <w:r w:rsidRPr="00735C33">
        <w:rPr>
          <w:rFonts w:ascii="Cambria" w:hAnsi="Cambria"/>
          <w:sz w:val="24"/>
          <w:szCs w:val="24"/>
        </w:rPr>
        <w:t xml:space="preserve">gestão sustentável dos recursos biológicos marinhos. </w:t>
      </w:r>
    </w:p>
    <w:p w14:paraId="3C306112" w14:textId="35C381F4" w:rsidR="00735C33" w:rsidRPr="00735C33" w:rsidRDefault="00735C33" w:rsidP="00735C3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 xml:space="preserve">Muitos dos conflitos no setor da pesca associados aos recursos marinhos surgem de perceções erradas sobre os impactes das artes no meio marinho, de informação incorreta sobre o estado das unidades populacionais das espécies com valor comercial e sobre o desconhecimento dos fundamentos da gestão sustentável dos recursos </w:t>
      </w:r>
      <w:r w:rsidR="00B8466F">
        <w:rPr>
          <w:rFonts w:ascii="Cambria" w:hAnsi="Cambria"/>
          <w:sz w:val="24"/>
          <w:szCs w:val="24"/>
        </w:rPr>
        <w:t>haliêuticos</w:t>
      </w:r>
      <w:r w:rsidRPr="00735C33">
        <w:rPr>
          <w:rFonts w:ascii="Cambria" w:hAnsi="Cambria"/>
          <w:sz w:val="24"/>
          <w:szCs w:val="24"/>
        </w:rPr>
        <w:t>. A formação profissional alargada a estes âmbitos terá o potencial de capacitar os profissionais da pesca para os desafios atuais e futuros colocados pela atual crise ambiental e climática.</w:t>
      </w:r>
    </w:p>
    <w:p w14:paraId="4310A0FD" w14:textId="23309F7D" w:rsidR="009054BE" w:rsidRPr="00483206" w:rsidRDefault="00735C33" w:rsidP="00735C3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 xml:space="preserve">Considerando que o setor se rege pela Política Comum das Pescas (PCP) que atribui apoios públicos </w:t>
      </w:r>
      <w:r w:rsidR="007E15BA" w:rsidRPr="00735C33">
        <w:rPr>
          <w:rFonts w:ascii="Cambria" w:hAnsi="Cambria"/>
          <w:sz w:val="24"/>
          <w:szCs w:val="24"/>
        </w:rPr>
        <w:t xml:space="preserve">para a sua concretização </w:t>
      </w:r>
      <w:r w:rsidRPr="00735C33">
        <w:rPr>
          <w:rFonts w:ascii="Cambria" w:hAnsi="Cambria"/>
          <w:sz w:val="24"/>
          <w:szCs w:val="24"/>
        </w:rPr>
        <w:t>através do Fundo Europeu para os Assuntos Marítimos</w:t>
      </w:r>
      <w:r w:rsidR="00454E45">
        <w:rPr>
          <w:rFonts w:ascii="Cambria" w:hAnsi="Cambria"/>
          <w:sz w:val="24"/>
          <w:szCs w:val="24"/>
        </w:rPr>
        <w:t xml:space="preserve">, </w:t>
      </w:r>
      <w:r w:rsidRPr="00735C33">
        <w:rPr>
          <w:rFonts w:ascii="Cambria" w:hAnsi="Cambria"/>
          <w:sz w:val="24"/>
          <w:szCs w:val="24"/>
        </w:rPr>
        <w:t>das Pescas</w:t>
      </w:r>
      <w:r w:rsidR="00454E45">
        <w:rPr>
          <w:rFonts w:ascii="Cambria" w:hAnsi="Cambria"/>
          <w:sz w:val="24"/>
          <w:szCs w:val="24"/>
        </w:rPr>
        <w:t xml:space="preserve"> e da Aquicultura</w:t>
      </w:r>
      <w:r w:rsidRPr="00735C33">
        <w:rPr>
          <w:rFonts w:ascii="Cambria" w:hAnsi="Cambria"/>
          <w:sz w:val="24"/>
          <w:szCs w:val="24"/>
        </w:rPr>
        <w:t xml:space="preserve"> (FEAMP</w:t>
      </w:r>
      <w:r w:rsidR="00454E45">
        <w:rPr>
          <w:rFonts w:ascii="Cambria" w:hAnsi="Cambria"/>
          <w:sz w:val="24"/>
          <w:szCs w:val="24"/>
        </w:rPr>
        <w:t>A</w:t>
      </w:r>
      <w:r w:rsidRPr="00735C33">
        <w:rPr>
          <w:rFonts w:ascii="Cambria" w:hAnsi="Cambria"/>
          <w:sz w:val="24"/>
          <w:szCs w:val="24"/>
        </w:rPr>
        <w:t>), é imperioso assegurar que estes apoios cumprem de forma eficaz os objetivos para os quais foram designados. A PCP tem como finalidade assegurar que a</w:t>
      </w:r>
      <w:r w:rsidR="007E15BA">
        <w:rPr>
          <w:rFonts w:ascii="Cambria" w:hAnsi="Cambria"/>
          <w:sz w:val="24"/>
          <w:szCs w:val="24"/>
        </w:rPr>
        <w:t>s</w:t>
      </w:r>
      <w:r w:rsidRPr="00735C33">
        <w:rPr>
          <w:rFonts w:ascii="Cambria" w:hAnsi="Cambria"/>
          <w:sz w:val="24"/>
          <w:szCs w:val="24"/>
        </w:rPr>
        <w:t xml:space="preserve"> pesca</w:t>
      </w:r>
      <w:r w:rsidR="007E15BA">
        <w:rPr>
          <w:rFonts w:ascii="Cambria" w:hAnsi="Cambria"/>
          <w:sz w:val="24"/>
          <w:szCs w:val="24"/>
        </w:rPr>
        <w:t>s</w:t>
      </w:r>
      <w:r w:rsidRPr="00735C33">
        <w:rPr>
          <w:rFonts w:ascii="Cambria" w:hAnsi="Cambria"/>
          <w:sz w:val="24"/>
          <w:szCs w:val="24"/>
        </w:rPr>
        <w:t xml:space="preserve"> são </w:t>
      </w:r>
      <w:proofErr w:type="gramStart"/>
      <w:r w:rsidRPr="00735C33">
        <w:rPr>
          <w:rFonts w:ascii="Cambria" w:hAnsi="Cambria"/>
          <w:sz w:val="24"/>
          <w:szCs w:val="24"/>
        </w:rPr>
        <w:t>ambiental</w:t>
      </w:r>
      <w:proofErr w:type="gramEnd"/>
      <w:r w:rsidRPr="00735C33">
        <w:rPr>
          <w:rFonts w:ascii="Cambria" w:hAnsi="Cambria"/>
          <w:sz w:val="24"/>
          <w:szCs w:val="24"/>
        </w:rPr>
        <w:t xml:space="preserve">, económica e socialmente sustentáveis, garantindo um nível de vida justo para as comunidades piscatórias. Como tal, é necessário assegurar que os beneficiários de apoios públicos contribuem para a estabilidade das relações laborais no setor, providenciando condições dignas de trabalho e práticas que se coadunam com a boa gestão e a sustentabilidade dos recursos </w:t>
      </w:r>
      <w:r w:rsidR="00B8466F">
        <w:rPr>
          <w:rFonts w:ascii="Cambria" w:hAnsi="Cambria"/>
          <w:sz w:val="24"/>
          <w:szCs w:val="24"/>
        </w:rPr>
        <w:t>piscícolas</w:t>
      </w:r>
      <w:r w:rsidRPr="00735C33">
        <w:rPr>
          <w:rFonts w:ascii="Cambria" w:hAnsi="Cambria"/>
          <w:sz w:val="24"/>
          <w:szCs w:val="24"/>
        </w:rPr>
        <w:t>.</w:t>
      </w:r>
    </w:p>
    <w:p w14:paraId="51196CAF" w14:textId="2337F5AE" w:rsidR="0073309D" w:rsidRDefault="00483206" w:rsidP="003F1F81">
      <w:pPr>
        <w:spacing w:before="240" w:line="360" w:lineRule="auto"/>
        <w:jc w:val="both"/>
        <w:rPr>
          <w:rFonts w:ascii="Cambria" w:hAnsi="Cambria"/>
          <w:i/>
          <w:sz w:val="24"/>
          <w:szCs w:val="24"/>
        </w:rPr>
      </w:pPr>
      <w:r w:rsidRPr="00483206">
        <w:rPr>
          <w:rFonts w:ascii="Cambria" w:hAnsi="Cambria"/>
          <w:sz w:val="24"/>
          <w:szCs w:val="24"/>
        </w:rPr>
        <w:t xml:space="preserve">               </w:t>
      </w:r>
      <w:r w:rsidR="0073309D" w:rsidRPr="008F7C3B">
        <w:rPr>
          <w:rFonts w:ascii="Cambria" w:hAnsi="Cambria"/>
          <w:i/>
          <w:sz w:val="24"/>
          <w:szCs w:val="24"/>
        </w:rPr>
        <w:t>Ao abrigo das disposições constitucionais e regimentais aplicáveis, o Grupo Parlamentar do Bloco de Esquerda propõe que a Assembleia da República recomende ao Governo que:</w:t>
      </w:r>
    </w:p>
    <w:p w14:paraId="0EA9DB94" w14:textId="5CF4EFA5" w:rsidR="00EE67E8" w:rsidRDefault="00EE67E8" w:rsidP="00735C33">
      <w:pPr>
        <w:numPr>
          <w:ilvl w:val="0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Proceda</w:t>
      </w:r>
      <w:r w:rsidR="00735C33" w:rsidRPr="00735C33">
        <w:rPr>
          <w:rFonts w:ascii="Cambria" w:hAnsi="Cambria"/>
          <w:sz w:val="24"/>
          <w:szCs w:val="24"/>
        </w:rPr>
        <w:t xml:space="preserve">, </w:t>
      </w:r>
      <w:r w:rsidR="00B12EB1">
        <w:rPr>
          <w:rFonts w:ascii="Cambria" w:hAnsi="Cambria"/>
          <w:sz w:val="24"/>
          <w:szCs w:val="24"/>
        </w:rPr>
        <w:t>até ao final</w:t>
      </w:r>
      <w:r w:rsidR="00B87F0B">
        <w:rPr>
          <w:rFonts w:ascii="Cambria" w:hAnsi="Cambria"/>
          <w:sz w:val="24"/>
          <w:szCs w:val="24"/>
        </w:rPr>
        <w:t xml:space="preserve"> de</w:t>
      </w:r>
      <w:r w:rsidR="00735C33" w:rsidRPr="00735C33">
        <w:rPr>
          <w:rFonts w:ascii="Cambria" w:hAnsi="Cambria"/>
          <w:sz w:val="24"/>
          <w:szCs w:val="24"/>
        </w:rPr>
        <w:t xml:space="preserve"> 2021,</w:t>
      </w:r>
      <w:r w:rsidR="000764B7">
        <w:rPr>
          <w:rFonts w:ascii="Cambria" w:hAnsi="Cambria"/>
          <w:sz w:val="24"/>
          <w:szCs w:val="24"/>
        </w:rPr>
        <w:t xml:space="preserve"> </w:t>
      </w:r>
      <w:r w:rsidR="00B87F0B">
        <w:rPr>
          <w:rFonts w:ascii="Cambria" w:hAnsi="Cambria"/>
          <w:sz w:val="24"/>
          <w:szCs w:val="24"/>
        </w:rPr>
        <w:t>à recolha de informação</w:t>
      </w:r>
      <w:r w:rsidR="000764B7">
        <w:rPr>
          <w:rFonts w:ascii="Cambria" w:hAnsi="Cambria"/>
          <w:sz w:val="24"/>
          <w:szCs w:val="24"/>
        </w:rPr>
        <w:t xml:space="preserve"> </w:t>
      </w:r>
      <w:r w:rsidR="00B87F0B">
        <w:rPr>
          <w:rFonts w:ascii="Cambria" w:hAnsi="Cambria"/>
          <w:sz w:val="24"/>
          <w:szCs w:val="24"/>
        </w:rPr>
        <w:t xml:space="preserve">sobre as </w:t>
      </w:r>
      <w:r w:rsidR="000764B7">
        <w:rPr>
          <w:rFonts w:ascii="Cambria" w:hAnsi="Cambria"/>
          <w:sz w:val="24"/>
          <w:szCs w:val="24"/>
        </w:rPr>
        <w:t xml:space="preserve">qualificações profissionais </w:t>
      </w:r>
      <w:r w:rsidR="00B87F0B">
        <w:rPr>
          <w:rFonts w:ascii="Cambria" w:hAnsi="Cambria"/>
          <w:sz w:val="24"/>
          <w:szCs w:val="24"/>
        </w:rPr>
        <w:t>n</w:t>
      </w:r>
      <w:r w:rsidR="000764B7">
        <w:rPr>
          <w:rFonts w:ascii="Cambria" w:hAnsi="Cambria"/>
          <w:sz w:val="24"/>
          <w:szCs w:val="24"/>
        </w:rPr>
        <w:t xml:space="preserve">o setor </w:t>
      </w:r>
      <w:r>
        <w:rPr>
          <w:rFonts w:ascii="Cambria" w:hAnsi="Cambria"/>
          <w:sz w:val="24"/>
          <w:szCs w:val="24"/>
        </w:rPr>
        <w:t xml:space="preserve">da pesca, bem como </w:t>
      </w:r>
      <w:r w:rsidR="00B87F0B">
        <w:rPr>
          <w:rFonts w:ascii="Cambria" w:hAnsi="Cambria"/>
          <w:sz w:val="24"/>
          <w:szCs w:val="24"/>
        </w:rPr>
        <w:t>sobre as</w:t>
      </w:r>
      <w:r w:rsidR="000764B7">
        <w:rPr>
          <w:rFonts w:ascii="Cambria" w:hAnsi="Cambria"/>
          <w:sz w:val="24"/>
          <w:szCs w:val="24"/>
        </w:rPr>
        <w:t xml:space="preserve"> necessidades de formação </w:t>
      </w:r>
      <w:r>
        <w:rPr>
          <w:rFonts w:ascii="Cambria" w:hAnsi="Cambria"/>
          <w:sz w:val="24"/>
          <w:szCs w:val="24"/>
        </w:rPr>
        <w:t>profissional</w:t>
      </w:r>
      <w:r w:rsidR="000E5E25">
        <w:rPr>
          <w:rFonts w:ascii="Cambria" w:hAnsi="Cambria"/>
          <w:sz w:val="24"/>
          <w:szCs w:val="24"/>
        </w:rPr>
        <w:t>;</w:t>
      </w:r>
    </w:p>
    <w:p w14:paraId="4C0136A6" w14:textId="496A8B8F" w:rsidR="00735C33" w:rsidRPr="00673DF4" w:rsidRDefault="00EE67E8" w:rsidP="00735C33">
      <w:pPr>
        <w:numPr>
          <w:ilvl w:val="0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Elabore, </w:t>
      </w:r>
      <w:r w:rsidR="00B12EB1">
        <w:rPr>
          <w:rFonts w:ascii="Cambria" w:hAnsi="Cambria"/>
          <w:sz w:val="24"/>
          <w:szCs w:val="24"/>
        </w:rPr>
        <w:t xml:space="preserve">até ao final do </w:t>
      </w:r>
      <w:r w:rsidR="008F6ACA">
        <w:rPr>
          <w:rFonts w:ascii="Cambria" w:hAnsi="Cambria"/>
          <w:sz w:val="24"/>
          <w:szCs w:val="24"/>
        </w:rPr>
        <w:t>1.º</w:t>
      </w:r>
      <w:r>
        <w:rPr>
          <w:rFonts w:ascii="Cambria" w:hAnsi="Cambria"/>
          <w:sz w:val="24"/>
          <w:szCs w:val="24"/>
        </w:rPr>
        <w:t xml:space="preserve"> semestre de 202</w:t>
      </w:r>
      <w:r w:rsidR="00B12EB1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, e com base </w:t>
      </w:r>
      <w:r w:rsidR="00B87F0B">
        <w:rPr>
          <w:rFonts w:ascii="Cambria" w:hAnsi="Cambria"/>
          <w:sz w:val="24"/>
          <w:szCs w:val="24"/>
        </w:rPr>
        <w:t>no disposto</w:t>
      </w:r>
      <w:r>
        <w:rPr>
          <w:rFonts w:ascii="Cambria" w:hAnsi="Cambria"/>
          <w:sz w:val="24"/>
          <w:szCs w:val="24"/>
        </w:rPr>
        <w:t xml:space="preserve"> pelo n.º 1, </w:t>
      </w:r>
      <w:r w:rsidR="00735C33" w:rsidRPr="00735C33">
        <w:rPr>
          <w:rFonts w:ascii="Cambria" w:hAnsi="Cambria"/>
          <w:sz w:val="24"/>
          <w:szCs w:val="24"/>
        </w:rPr>
        <w:t>um plano nacional de formação profissional para o setor da pesca, implementado e monitorizado pelos ministérios com a tutela das áreas governativas do Mar</w:t>
      </w:r>
      <w:r w:rsidR="000764B7">
        <w:rPr>
          <w:rFonts w:ascii="Cambria" w:hAnsi="Cambria"/>
          <w:sz w:val="24"/>
          <w:szCs w:val="24"/>
        </w:rPr>
        <w:t>, do Trabalho</w:t>
      </w:r>
      <w:r w:rsidR="00735C33" w:rsidRPr="00735C33">
        <w:rPr>
          <w:rFonts w:ascii="Cambria" w:hAnsi="Cambria"/>
          <w:sz w:val="24"/>
          <w:szCs w:val="24"/>
        </w:rPr>
        <w:t xml:space="preserve"> e do Ambiente e Ação Climática, após auscultação e em articulação com os</w:t>
      </w:r>
      <w:r w:rsidR="00735C33">
        <w:rPr>
          <w:rFonts w:ascii="Cambria" w:hAnsi="Cambria"/>
          <w:sz w:val="24"/>
          <w:szCs w:val="24"/>
        </w:rPr>
        <w:t>/as</w:t>
      </w:r>
      <w:r w:rsidR="00735C33" w:rsidRPr="00735C33">
        <w:rPr>
          <w:rFonts w:ascii="Cambria" w:hAnsi="Cambria"/>
          <w:sz w:val="24"/>
          <w:szCs w:val="24"/>
        </w:rPr>
        <w:t xml:space="preserve"> profissionais do setor</w:t>
      </w:r>
      <w:r>
        <w:rPr>
          <w:rFonts w:ascii="Cambria" w:hAnsi="Cambria"/>
          <w:sz w:val="24"/>
          <w:szCs w:val="24"/>
        </w:rPr>
        <w:t xml:space="preserve">, e que inclua </w:t>
      </w:r>
      <w:r w:rsidR="00735C33" w:rsidRPr="00735C33">
        <w:rPr>
          <w:rFonts w:ascii="Cambria" w:hAnsi="Cambria"/>
          <w:sz w:val="24"/>
          <w:szCs w:val="24"/>
        </w:rPr>
        <w:t xml:space="preserve">os princípios da </w:t>
      </w:r>
      <w:r w:rsidR="00735C33" w:rsidRPr="00673DF4">
        <w:rPr>
          <w:rFonts w:ascii="Cambria" w:hAnsi="Cambria"/>
          <w:sz w:val="24"/>
          <w:szCs w:val="24"/>
        </w:rPr>
        <w:t>pesca sustentáve</w:t>
      </w:r>
      <w:r w:rsidR="002A2B41">
        <w:rPr>
          <w:rFonts w:ascii="Cambria" w:hAnsi="Cambria"/>
          <w:sz w:val="24"/>
          <w:szCs w:val="24"/>
        </w:rPr>
        <w:t>l</w:t>
      </w:r>
      <w:r w:rsidR="00735C33" w:rsidRPr="00673DF4">
        <w:rPr>
          <w:rFonts w:ascii="Cambria" w:hAnsi="Cambria"/>
          <w:sz w:val="24"/>
          <w:szCs w:val="24"/>
        </w:rPr>
        <w:t>, da conservação dos recursos biológicos marinhos, do bom estado ambiental do meio marinho, e da mitigação e adaptação à</w:t>
      </w:r>
      <w:r w:rsidR="00680DE3" w:rsidRPr="00673DF4">
        <w:rPr>
          <w:rFonts w:ascii="Cambria" w:hAnsi="Cambria"/>
          <w:sz w:val="24"/>
          <w:szCs w:val="24"/>
        </w:rPr>
        <w:t>s</w:t>
      </w:r>
      <w:r w:rsidR="00735C33" w:rsidRPr="00673DF4">
        <w:rPr>
          <w:rFonts w:ascii="Cambria" w:hAnsi="Cambria"/>
          <w:sz w:val="24"/>
          <w:szCs w:val="24"/>
        </w:rPr>
        <w:t xml:space="preserve"> </w:t>
      </w:r>
      <w:r w:rsidR="00680DE3" w:rsidRPr="00673DF4">
        <w:rPr>
          <w:rFonts w:ascii="Cambria" w:hAnsi="Cambria"/>
          <w:sz w:val="24"/>
          <w:szCs w:val="24"/>
        </w:rPr>
        <w:t>alterações climáticas</w:t>
      </w:r>
      <w:r w:rsidR="000E5E25">
        <w:rPr>
          <w:rFonts w:ascii="Cambria" w:hAnsi="Cambria"/>
          <w:sz w:val="24"/>
          <w:szCs w:val="24"/>
        </w:rPr>
        <w:t>;</w:t>
      </w:r>
    </w:p>
    <w:p w14:paraId="659A5C43" w14:textId="6DA6DAD9" w:rsidR="00735C33" w:rsidRPr="00735C33" w:rsidRDefault="00735C33" w:rsidP="00735C33">
      <w:pPr>
        <w:numPr>
          <w:ilvl w:val="0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 xml:space="preserve">Tome medidas, no âmbito da transposição da Política Comum das Pescas </w:t>
      </w:r>
      <w:r>
        <w:rPr>
          <w:rFonts w:ascii="Cambria" w:hAnsi="Cambria"/>
          <w:sz w:val="24"/>
          <w:szCs w:val="24"/>
        </w:rPr>
        <w:t>através do</w:t>
      </w:r>
      <w:r w:rsidRPr="00735C33">
        <w:rPr>
          <w:rFonts w:ascii="Cambria" w:hAnsi="Cambria"/>
          <w:sz w:val="24"/>
          <w:szCs w:val="24"/>
        </w:rPr>
        <w:t xml:space="preserve"> futuro Programa Operacional de Portugal para o período 2021-2027 do Fundo Europeu para os Assuntos Marítimas</w:t>
      </w:r>
      <w:r w:rsidR="000E5E25">
        <w:rPr>
          <w:rFonts w:ascii="Cambria" w:hAnsi="Cambria"/>
          <w:sz w:val="24"/>
          <w:szCs w:val="24"/>
        </w:rPr>
        <w:t xml:space="preserve">, </w:t>
      </w:r>
      <w:r w:rsidRPr="00735C33">
        <w:rPr>
          <w:rFonts w:ascii="Cambria" w:hAnsi="Cambria"/>
          <w:sz w:val="24"/>
          <w:szCs w:val="24"/>
        </w:rPr>
        <w:t>das Pescas</w:t>
      </w:r>
      <w:r w:rsidR="000E5E25">
        <w:rPr>
          <w:rFonts w:ascii="Cambria" w:hAnsi="Cambria"/>
          <w:sz w:val="24"/>
          <w:szCs w:val="24"/>
        </w:rPr>
        <w:t xml:space="preserve"> e da Aquicultura</w:t>
      </w:r>
      <w:r>
        <w:rPr>
          <w:rFonts w:ascii="Cambria" w:hAnsi="Cambria"/>
          <w:sz w:val="24"/>
          <w:szCs w:val="24"/>
        </w:rPr>
        <w:t xml:space="preserve"> (FEAMP</w:t>
      </w:r>
      <w:r w:rsidR="000E5E25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)</w:t>
      </w:r>
      <w:r w:rsidRPr="00735C33">
        <w:rPr>
          <w:rFonts w:ascii="Cambria" w:hAnsi="Cambria"/>
          <w:sz w:val="24"/>
          <w:szCs w:val="24"/>
        </w:rPr>
        <w:t>, de forma a assegurar que todos</w:t>
      </w:r>
      <w:r>
        <w:rPr>
          <w:rFonts w:ascii="Cambria" w:hAnsi="Cambria"/>
          <w:sz w:val="24"/>
          <w:szCs w:val="24"/>
        </w:rPr>
        <w:t>/as</w:t>
      </w:r>
      <w:r w:rsidRPr="00735C33">
        <w:rPr>
          <w:rFonts w:ascii="Cambria" w:hAnsi="Cambria"/>
          <w:sz w:val="24"/>
          <w:szCs w:val="24"/>
        </w:rPr>
        <w:t xml:space="preserve"> os</w:t>
      </w:r>
      <w:r>
        <w:rPr>
          <w:rFonts w:ascii="Cambria" w:hAnsi="Cambria"/>
          <w:sz w:val="24"/>
          <w:szCs w:val="24"/>
        </w:rPr>
        <w:t>/as</w:t>
      </w:r>
      <w:r w:rsidRPr="00735C33">
        <w:rPr>
          <w:rFonts w:ascii="Cambria" w:hAnsi="Cambria"/>
          <w:sz w:val="24"/>
          <w:szCs w:val="24"/>
        </w:rPr>
        <w:t xml:space="preserve"> beneficiários</w:t>
      </w:r>
      <w:r>
        <w:rPr>
          <w:rFonts w:ascii="Cambria" w:hAnsi="Cambria"/>
          <w:sz w:val="24"/>
          <w:szCs w:val="24"/>
        </w:rPr>
        <w:t>/as</w:t>
      </w:r>
      <w:r w:rsidRPr="00735C33">
        <w:rPr>
          <w:rFonts w:ascii="Cambria" w:hAnsi="Cambria"/>
          <w:sz w:val="24"/>
          <w:szCs w:val="24"/>
        </w:rPr>
        <w:t xml:space="preserve"> de apoios comunitários e nacionais:</w:t>
      </w:r>
    </w:p>
    <w:p w14:paraId="7B705196" w14:textId="55CEA8F7" w:rsidR="00735C33" w:rsidRDefault="00735C33" w:rsidP="00735C33">
      <w:pPr>
        <w:numPr>
          <w:ilvl w:val="1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>garant</w:t>
      </w:r>
      <w:r>
        <w:rPr>
          <w:rFonts w:ascii="Cambria" w:hAnsi="Cambria"/>
          <w:sz w:val="24"/>
          <w:szCs w:val="24"/>
        </w:rPr>
        <w:t>a</w:t>
      </w:r>
      <w:r w:rsidRPr="00735C33">
        <w:rPr>
          <w:rFonts w:ascii="Cambria" w:hAnsi="Cambria"/>
          <w:sz w:val="24"/>
          <w:szCs w:val="24"/>
        </w:rPr>
        <w:t>m as necessidades de mão-de-obra através de contratos de trabalho e sem recurso à subcontratação;</w:t>
      </w:r>
    </w:p>
    <w:p w14:paraId="3CD2D2E9" w14:textId="44D084E6" w:rsidR="00735C33" w:rsidRPr="00735C33" w:rsidRDefault="00735C33" w:rsidP="00735C33">
      <w:pPr>
        <w:numPr>
          <w:ilvl w:val="1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>apresent</w:t>
      </w:r>
      <w:r>
        <w:rPr>
          <w:rFonts w:ascii="Cambria" w:hAnsi="Cambria"/>
          <w:sz w:val="24"/>
          <w:szCs w:val="24"/>
        </w:rPr>
        <w:t>a</w:t>
      </w:r>
      <w:r w:rsidRPr="00735C33">
        <w:rPr>
          <w:rFonts w:ascii="Cambria" w:hAnsi="Cambria"/>
          <w:sz w:val="24"/>
          <w:szCs w:val="24"/>
        </w:rPr>
        <w:t xml:space="preserve">m, no âmbito das suas candidaturas para o período em que beneficiam de apoios públicos, planos de formação profissional enquadrados no plano nacional definido pelo </w:t>
      </w:r>
      <w:r>
        <w:rPr>
          <w:rFonts w:ascii="Cambria" w:hAnsi="Cambria"/>
          <w:sz w:val="24"/>
          <w:szCs w:val="24"/>
        </w:rPr>
        <w:t>n.º</w:t>
      </w:r>
      <w:r w:rsidRPr="00735C33">
        <w:rPr>
          <w:rFonts w:ascii="Cambria" w:hAnsi="Cambria"/>
          <w:sz w:val="24"/>
          <w:szCs w:val="24"/>
        </w:rPr>
        <w:t xml:space="preserve"> 1, de forma a suprir as necessidades de formação e a responder, no mínimo, à exigência legal da prática de</w:t>
      </w:r>
      <w:r w:rsidR="00114991">
        <w:rPr>
          <w:rFonts w:ascii="Cambria" w:hAnsi="Cambria"/>
          <w:sz w:val="24"/>
          <w:szCs w:val="24"/>
        </w:rPr>
        <w:t xml:space="preserve"> um mínimo de</w:t>
      </w:r>
      <w:r w:rsidRPr="00735C33">
        <w:rPr>
          <w:rFonts w:ascii="Cambria" w:hAnsi="Cambria"/>
          <w:sz w:val="24"/>
          <w:szCs w:val="24"/>
        </w:rPr>
        <w:t xml:space="preserve"> 35 horas anuais de formação profissional</w:t>
      </w:r>
      <w:r w:rsidR="000E5E25">
        <w:rPr>
          <w:rFonts w:ascii="Cambria" w:hAnsi="Cambria"/>
          <w:sz w:val="24"/>
          <w:szCs w:val="24"/>
        </w:rPr>
        <w:t>;</w:t>
      </w:r>
    </w:p>
    <w:p w14:paraId="7EF21779" w14:textId="76E2A0D5" w:rsidR="00735C33" w:rsidRPr="00735C33" w:rsidRDefault="00735C33" w:rsidP="00735C33">
      <w:pPr>
        <w:numPr>
          <w:ilvl w:val="0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>Assegure o acompanhamento e fiscalização do cumprimento dos planos de formação profissional referidos na alínea b, do n</w:t>
      </w:r>
      <w:r>
        <w:rPr>
          <w:rFonts w:ascii="Cambria" w:hAnsi="Cambria"/>
          <w:sz w:val="24"/>
          <w:szCs w:val="24"/>
        </w:rPr>
        <w:t>.º</w:t>
      </w:r>
      <w:r w:rsidRPr="00735C33">
        <w:rPr>
          <w:rFonts w:ascii="Cambria" w:hAnsi="Cambria"/>
          <w:sz w:val="24"/>
          <w:szCs w:val="24"/>
        </w:rPr>
        <w:t xml:space="preserve"> 2, através da intervenção da Autoridade para as Condições do Trabalho e/ou das entidades com competência inspetiva no setor</w:t>
      </w:r>
      <w:r w:rsidR="00B87F0B">
        <w:rPr>
          <w:rFonts w:ascii="Cambria" w:hAnsi="Cambria"/>
          <w:sz w:val="24"/>
          <w:szCs w:val="24"/>
        </w:rPr>
        <w:t>, garantindo que o</w:t>
      </w:r>
      <w:r w:rsidR="00114991">
        <w:rPr>
          <w:rFonts w:ascii="Cambria" w:hAnsi="Cambria"/>
          <w:sz w:val="24"/>
          <w:szCs w:val="24"/>
        </w:rPr>
        <w:t>s centros de formação profissiona</w:t>
      </w:r>
      <w:r w:rsidR="00B87F0B">
        <w:rPr>
          <w:rFonts w:ascii="Cambria" w:hAnsi="Cambria"/>
          <w:sz w:val="24"/>
          <w:szCs w:val="24"/>
        </w:rPr>
        <w:t>l</w:t>
      </w:r>
      <w:r w:rsidR="00114991">
        <w:rPr>
          <w:rFonts w:ascii="Cambria" w:hAnsi="Cambria"/>
          <w:sz w:val="24"/>
          <w:szCs w:val="24"/>
        </w:rPr>
        <w:t xml:space="preserve"> </w:t>
      </w:r>
      <w:r w:rsidR="00B87F0B">
        <w:rPr>
          <w:rFonts w:ascii="Cambria" w:hAnsi="Cambria"/>
          <w:sz w:val="24"/>
          <w:szCs w:val="24"/>
        </w:rPr>
        <w:t>contam com</w:t>
      </w:r>
      <w:r w:rsidR="00114991">
        <w:rPr>
          <w:rFonts w:ascii="Cambria" w:hAnsi="Cambria"/>
          <w:sz w:val="24"/>
          <w:szCs w:val="24"/>
        </w:rPr>
        <w:t xml:space="preserve"> maior envolvimento consultivo dos parceiros sociais</w:t>
      </w:r>
      <w:r w:rsidR="000E5E25">
        <w:rPr>
          <w:rFonts w:ascii="Cambria" w:hAnsi="Cambria"/>
          <w:sz w:val="24"/>
          <w:szCs w:val="24"/>
        </w:rPr>
        <w:t>;</w:t>
      </w:r>
    </w:p>
    <w:p w14:paraId="287B6D34" w14:textId="2CA068A0" w:rsidR="00735C33" w:rsidRPr="00735C33" w:rsidRDefault="00735C33" w:rsidP="00735C33">
      <w:pPr>
        <w:numPr>
          <w:ilvl w:val="0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>Atribua aos Sindicatos e às Comissões de Trabalhadores, representativas dos</w:t>
      </w:r>
      <w:r>
        <w:rPr>
          <w:rFonts w:ascii="Cambria" w:hAnsi="Cambria"/>
          <w:sz w:val="24"/>
          <w:szCs w:val="24"/>
        </w:rPr>
        <w:t>/as</w:t>
      </w:r>
      <w:r w:rsidRPr="00735C33">
        <w:rPr>
          <w:rFonts w:ascii="Cambria" w:hAnsi="Cambria"/>
          <w:sz w:val="24"/>
          <w:szCs w:val="24"/>
        </w:rPr>
        <w:t xml:space="preserve"> trabalhadores/as afetas às entidades beneficiárias, o direito a elaboração de parecer prévio, a remeter à Autoridade para as Condições do Trabalho, que, com </w:t>
      </w:r>
      <w:r w:rsidRPr="00735C33">
        <w:rPr>
          <w:rFonts w:ascii="Cambria" w:hAnsi="Cambria"/>
          <w:sz w:val="24"/>
          <w:szCs w:val="24"/>
        </w:rPr>
        <w:lastRenderedPageBreak/>
        <w:t>base no referido documento, emit</w:t>
      </w:r>
      <w:r>
        <w:rPr>
          <w:rFonts w:ascii="Cambria" w:hAnsi="Cambria"/>
          <w:sz w:val="24"/>
          <w:szCs w:val="24"/>
        </w:rPr>
        <w:t>e</w:t>
      </w:r>
      <w:r w:rsidRPr="00735C33">
        <w:rPr>
          <w:rFonts w:ascii="Cambria" w:hAnsi="Cambria"/>
          <w:sz w:val="24"/>
          <w:szCs w:val="24"/>
        </w:rPr>
        <w:t xml:space="preserve"> parecer vinculativo sobre medida de majoração extraordinária dos apoios públicos provenientes do </w:t>
      </w:r>
      <w:r>
        <w:rPr>
          <w:rFonts w:ascii="Cambria" w:hAnsi="Cambria"/>
          <w:sz w:val="24"/>
          <w:szCs w:val="24"/>
        </w:rPr>
        <w:t>FEAMP</w:t>
      </w:r>
      <w:r w:rsidR="00454E45">
        <w:rPr>
          <w:rFonts w:ascii="Cambria" w:hAnsi="Cambria"/>
          <w:sz w:val="24"/>
          <w:szCs w:val="24"/>
        </w:rPr>
        <w:t>A</w:t>
      </w:r>
      <w:r w:rsidRPr="00735C33">
        <w:rPr>
          <w:rFonts w:ascii="Cambria" w:hAnsi="Cambria"/>
          <w:sz w:val="24"/>
          <w:szCs w:val="24"/>
        </w:rPr>
        <w:t>, ou de outros apoios públicos atribuídos ao setor, a definir pelo Governo e a atribuir em função de indicadores concretos que comprovem o respeito pela legislação laboral vigente</w:t>
      </w:r>
      <w:r w:rsidR="000E5E25">
        <w:rPr>
          <w:rFonts w:ascii="Cambria" w:hAnsi="Cambria"/>
          <w:sz w:val="24"/>
          <w:szCs w:val="24"/>
        </w:rPr>
        <w:t>;</w:t>
      </w:r>
    </w:p>
    <w:p w14:paraId="22191B44" w14:textId="62929664" w:rsidR="00735C33" w:rsidRPr="00735C33" w:rsidRDefault="00735C33" w:rsidP="00735C33">
      <w:pPr>
        <w:numPr>
          <w:ilvl w:val="0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 xml:space="preserve">Garanta que todos os projetos de apoio subsidiários do futuro Programa Operacional de Portugal para o período 2021-2027 do </w:t>
      </w:r>
      <w:r>
        <w:rPr>
          <w:rFonts w:ascii="Cambria" w:hAnsi="Cambria"/>
          <w:sz w:val="24"/>
          <w:szCs w:val="24"/>
        </w:rPr>
        <w:t>FEAMP</w:t>
      </w:r>
      <w:r w:rsidR="00454E45">
        <w:rPr>
          <w:rFonts w:ascii="Cambria" w:hAnsi="Cambria"/>
          <w:sz w:val="24"/>
          <w:szCs w:val="24"/>
        </w:rPr>
        <w:t>A</w:t>
      </w:r>
      <w:r w:rsidRPr="00735C33">
        <w:rPr>
          <w:rFonts w:ascii="Cambria" w:hAnsi="Cambria"/>
          <w:sz w:val="24"/>
          <w:szCs w:val="24"/>
        </w:rPr>
        <w:t>, ou de outros apoios públicos atribuídos ao setor, recebem assistência técnico-científica durante a vigência do futuro Programa Operacional, garantid</w:t>
      </w:r>
      <w:r>
        <w:rPr>
          <w:rFonts w:ascii="Cambria" w:hAnsi="Cambria"/>
          <w:sz w:val="24"/>
          <w:szCs w:val="24"/>
        </w:rPr>
        <w:t>a</w:t>
      </w:r>
      <w:r w:rsidRPr="00735C33">
        <w:rPr>
          <w:rFonts w:ascii="Cambria" w:hAnsi="Cambria"/>
          <w:sz w:val="24"/>
          <w:szCs w:val="24"/>
        </w:rPr>
        <w:t xml:space="preserve"> pelos serviços dos ministérios com a tutela das áreas governativas do Mar</w:t>
      </w:r>
      <w:r w:rsidR="00751289">
        <w:rPr>
          <w:rFonts w:ascii="Cambria" w:hAnsi="Cambria"/>
          <w:sz w:val="24"/>
          <w:szCs w:val="24"/>
        </w:rPr>
        <w:t xml:space="preserve"> e </w:t>
      </w:r>
      <w:r w:rsidRPr="00735C33">
        <w:rPr>
          <w:rFonts w:ascii="Cambria" w:hAnsi="Cambria"/>
          <w:sz w:val="24"/>
          <w:szCs w:val="24"/>
        </w:rPr>
        <w:t>do Ambiente e Ação Climática, ou através de estruturas associativas locais devidamente capacitadas</w:t>
      </w:r>
      <w:r w:rsidR="000E5E25">
        <w:rPr>
          <w:rFonts w:ascii="Cambria" w:hAnsi="Cambria"/>
          <w:sz w:val="24"/>
          <w:szCs w:val="24"/>
        </w:rPr>
        <w:t>;</w:t>
      </w:r>
    </w:p>
    <w:p w14:paraId="4B8A5EE7" w14:textId="0984BB21" w:rsidR="0073309D" w:rsidRPr="00735C33" w:rsidRDefault="00735C33" w:rsidP="00735C33">
      <w:pPr>
        <w:numPr>
          <w:ilvl w:val="0"/>
          <w:numId w:val="7"/>
        </w:num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735C33">
        <w:rPr>
          <w:rFonts w:ascii="Cambria" w:hAnsi="Cambria"/>
          <w:sz w:val="24"/>
          <w:szCs w:val="24"/>
        </w:rPr>
        <w:t>Proceda à realização de ações inspetivas de âmbito nacional, com periodicidade anual, em articulação com a Autoridade para as Condições do Trabalho, com vista, nomeadamente, à sensibilização para a necessidade de regularização da situação laboral dos</w:t>
      </w:r>
      <w:r>
        <w:rPr>
          <w:rFonts w:ascii="Cambria" w:hAnsi="Cambria"/>
          <w:sz w:val="24"/>
          <w:szCs w:val="24"/>
        </w:rPr>
        <w:t>/as</w:t>
      </w:r>
      <w:r w:rsidRPr="00735C33">
        <w:rPr>
          <w:rFonts w:ascii="Cambria" w:hAnsi="Cambria"/>
          <w:sz w:val="24"/>
          <w:szCs w:val="24"/>
        </w:rPr>
        <w:t xml:space="preserve"> trabalhadore</w:t>
      </w:r>
      <w:r>
        <w:rPr>
          <w:rFonts w:ascii="Cambria" w:hAnsi="Cambria"/>
          <w:sz w:val="24"/>
          <w:szCs w:val="24"/>
        </w:rPr>
        <w:t>s/as</w:t>
      </w:r>
      <w:r w:rsidRPr="00735C33">
        <w:rPr>
          <w:rFonts w:ascii="Cambria" w:hAnsi="Cambria"/>
          <w:sz w:val="24"/>
          <w:szCs w:val="24"/>
        </w:rPr>
        <w:t xml:space="preserve"> do setor, bem como de eventuais violações de regras de saúde e segurança no trabalho, e à investigação </w:t>
      </w:r>
      <w:r w:rsidR="00114991">
        <w:rPr>
          <w:rFonts w:ascii="Cambria" w:hAnsi="Cambria"/>
          <w:sz w:val="24"/>
          <w:szCs w:val="24"/>
        </w:rPr>
        <w:t>das condições de trabalho e</w:t>
      </w:r>
      <w:r w:rsidR="005A2473">
        <w:rPr>
          <w:rFonts w:ascii="Cambria" w:hAnsi="Cambria"/>
          <w:sz w:val="24"/>
          <w:szCs w:val="24"/>
        </w:rPr>
        <w:t xml:space="preserve"> </w:t>
      </w:r>
      <w:r w:rsidRPr="00735C33">
        <w:rPr>
          <w:rFonts w:ascii="Cambria" w:hAnsi="Cambria"/>
          <w:sz w:val="24"/>
          <w:szCs w:val="24"/>
        </w:rPr>
        <w:t>de situações de exploração e tráfico laboral.</w:t>
      </w:r>
    </w:p>
    <w:p w14:paraId="1667A21B" w14:textId="77777777" w:rsidR="0073309D" w:rsidRPr="00483206" w:rsidRDefault="0073309D" w:rsidP="0073309D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14:paraId="20C2A5A6" w14:textId="3E8FA7E1" w:rsidR="004C641F" w:rsidRPr="00483206" w:rsidRDefault="004C641F" w:rsidP="0048320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483206">
        <w:rPr>
          <w:rFonts w:ascii="Cambria" w:hAnsi="Cambria"/>
          <w:sz w:val="24"/>
          <w:szCs w:val="24"/>
        </w:rPr>
        <w:t xml:space="preserve">Assembleia da República, </w:t>
      </w:r>
      <w:r w:rsidR="00DB4D67">
        <w:rPr>
          <w:rFonts w:ascii="Cambria" w:hAnsi="Cambria"/>
          <w:sz w:val="24"/>
          <w:szCs w:val="24"/>
        </w:rPr>
        <w:t>27</w:t>
      </w:r>
      <w:r w:rsidR="00FF32BA" w:rsidRPr="00483206">
        <w:rPr>
          <w:rFonts w:ascii="Cambria" w:hAnsi="Cambria"/>
          <w:sz w:val="24"/>
          <w:szCs w:val="24"/>
        </w:rPr>
        <w:t xml:space="preserve"> </w:t>
      </w:r>
      <w:r w:rsidR="00DA5AD0" w:rsidRPr="00483206">
        <w:rPr>
          <w:rFonts w:ascii="Cambria" w:hAnsi="Cambria"/>
          <w:sz w:val="24"/>
          <w:szCs w:val="24"/>
        </w:rPr>
        <w:t xml:space="preserve">de </w:t>
      </w:r>
      <w:r w:rsidR="00DB4D67">
        <w:rPr>
          <w:rFonts w:ascii="Cambria" w:hAnsi="Cambria"/>
          <w:sz w:val="24"/>
          <w:szCs w:val="24"/>
        </w:rPr>
        <w:t>maio</w:t>
      </w:r>
      <w:r w:rsidR="009354F0" w:rsidRPr="00483206">
        <w:rPr>
          <w:rFonts w:ascii="Cambria" w:hAnsi="Cambria"/>
          <w:sz w:val="24"/>
          <w:szCs w:val="24"/>
        </w:rPr>
        <w:t xml:space="preserve"> de 20</w:t>
      </w:r>
      <w:r w:rsidR="00735C33">
        <w:rPr>
          <w:rFonts w:ascii="Cambria" w:hAnsi="Cambria"/>
          <w:sz w:val="24"/>
          <w:szCs w:val="24"/>
        </w:rPr>
        <w:t>2</w:t>
      </w:r>
      <w:r w:rsidR="00DB4D67">
        <w:rPr>
          <w:rFonts w:ascii="Cambria" w:hAnsi="Cambria"/>
          <w:sz w:val="24"/>
          <w:szCs w:val="24"/>
        </w:rPr>
        <w:t>1</w:t>
      </w:r>
      <w:r w:rsidRPr="00483206">
        <w:rPr>
          <w:rFonts w:ascii="Cambria" w:hAnsi="Cambria"/>
          <w:sz w:val="24"/>
          <w:szCs w:val="24"/>
        </w:rPr>
        <w:t>.</w:t>
      </w:r>
    </w:p>
    <w:p w14:paraId="576518CE" w14:textId="77777777" w:rsidR="003F1F81" w:rsidRDefault="004C641F" w:rsidP="003F1F81">
      <w:pPr>
        <w:spacing w:before="120" w:line="360" w:lineRule="auto"/>
        <w:jc w:val="center"/>
        <w:rPr>
          <w:rFonts w:ascii="Cambria" w:hAnsi="Cambria" w:cs="Cambria"/>
          <w:noProof/>
          <w:szCs w:val="26"/>
        </w:rPr>
      </w:pPr>
      <w:r w:rsidRPr="00483206">
        <w:rPr>
          <w:rFonts w:ascii="Cambria" w:hAnsi="Cambria"/>
          <w:sz w:val="24"/>
          <w:szCs w:val="24"/>
        </w:rPr>
        <w:t>As Deputadas e os Deputados do Bloco de Esquerda,</w:t>
      </w:r>
    </w:p>
    <w:p w14:paraId="147BD222" w14:textId="77777777" w:rsidR="003F1F81" w:rsidRDefault="003F1F81" w:rsidP="003F1F81">
      <w:pPr>
        <w:spacing w:before="120" w:line="360" w:lineRule="auto"/>
        <w:rPr>
          <w:rFonts w:ascii="Cambria" w:hAnsi="Cambria" w:cs="Cambria"/>
          <w:noProof/>
          <w:szCs w:val="26"/>
        </w:rPr>
      </w:pPr>
    </w:p>
    <w:p w14:paraId="6408EAE4" w14:textId="77777777" w:rsidR="007C5EC3" w:rsidRDefault="003F1F81" w:rsidP="003F1F81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1" w:name="_Hlk40971207"/>
      <w:r w:rsidRPr="00575D2D">
        <w:rPr>
          <w:rFonts w:ascii="Cambria" w:hAnsi="Cambria"/>
          <w:sz w:val="24"/>
          <w:szCs w:val="24"/>
        </w:rPr>
        <w:t xml:space="preserve">Ricardo Vicente; </w:t>
      </w:r>
      <w:r w:rsidR="007C5EC3" w:rsidRPr="00575D2D">
        <w:rPr>
          <w:rFonts w:ascii="Cambria" w:hAnsi="Cambria"/>
          <w:sz w:val="24"/>
          <w:szCs w:val="24"/>
        </w:rPr>
        <w:t xml:space="preserve">Jorge Costa; </w:t>
      </w:r>
      <w:r w:rsidRPr="00575D2D">
        <w:rPr>
          <w:rFonts w:ascii="Cambria" w:hAnsi="Cambria"/>
          <w:sz w:val="24"/>
          <w:szCs w:val="24"/>
        </w:rPr>
        <w:t>Mariana Mortágua; Alexandra Vieira;</w:t>
      </w:r>
      <w:r w:rsidR="007C5EC3"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 xml:space="preserve">Beatriz Dias; </w:t>
      </w:r>
    </w:p>
    <w:p w14:paraId="7404342A" w14:textId="77777777" w:rsidR="007C5EC3" w:rsidRDefault="007C5EC3" w:rsidP="007C5EC3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Diana Santos, </w:t>
      </w:r>
      <w:proofErr w:type="spellStart"/>
      <w:r>
        <w:rPr>
          <w:rFonts w:ascii="Cambria" w:hAnsi="Cambria"/>
          <w:sz w:val="24"/>
          <w:szCs w:val="24"/>
        </w:rPr>
        <w:t>Fabian</w:t>
      </w:r>
      <w:proofErr w:type="spellEnd"/>
      <w:r>
        <w:rPr>
          <w:rFonts w:ascii="Cambria" w:hAnsi="Cambria"/>
          <w:sz w:val="24"/>
          <w:szCs w:val="24"/>
        </w:rPr>
        <w:t xml:space="preserve"> Figueiredo; </w:t>
      </w:r>
      <w:r w:rsidR="003F1F81" w:rsidRPr="00575D2D">
        <w:rPr>
          <w:rFonts w:ascii="Cambria" w:hAnsi="Cambria"/>
          <w:sz w:val="24"/>
          <w:szCs w:val="24"/>
        </w:rPr>
        <w:t xml:space="preserve">Fabíola Cardoso; Isabel Pires; Joana Mortágua; </w:t>
      </w:r>
    </w:p>
    <w:p w14:paraId="745961FE" w14:textId="561EBB4C" w:rsidR="003F1F81" w:rsidRDefault="003F1F81" w:rsidP="007C5EC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João Vasconcelos;</w:t>
      </w:r>
      <w:r w:rsidR="007C5EC3"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José Manuel Pureza; José Maria Cardoso; José Soeiro; Luís Monteiro;</w:t>
      </w:r>
    </w:p>
    <w:p w14:paraId="24114F80" w14:textId="36588B2D" w:rsidR="003F1F81" w:rsidRDefault="003F1F81" w:rsidP="003F1F81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Maria Manuel Rola; 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Catarina Martins</w:t>
      </w:r>
    </w:p>
    <w:bookmarkEnd w:id="1"/>
    <w:p w14:paraId="17A30C27" w14:textId="456D7DB1" w:rsidR="003F1F81" w:rsidRDefault="003F1F81" w:rsidP="003F1F81">
      <w:pPr>
        <w:spacing w:before="120" w:line="360" w:lineRule="auto"/>
        <w:rPr>
          <w:rFonts w:ascii="Cambria" w:hAnsi="Cambria" w:cs="Cambria"/>
          <w:noProof/>
          <w:szCs w:val="26"/>
        </w:rPr>
        <w:sectPr w:rsidR="003F1F81" w:rsidSect="004832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14:paraId="6515F37B" w14:textId="77777777" w:rsidR="00B12A17" w:rsidRDefault="00B12A17" w:rsidP="00B12A17">
      <w:pPr>
        <w:widowControl w:val="0"/>
        <w:tabs>
          <w:tab w:val="left" w:pos="0"/>
        </w:tabs>
        <w:spacing w:before="120"/>
        <w:rPr>
          <w:rFonts w:ascii="Cambria" w:hAnsi="Cambria" w:cs="Cambria"/>
          <w:szCs w:val="26"/>
        </w:rPr>
      </w:pPr>
    </w:p>
    <w:sectPr w:rsidR="00B12A17" w:rsidSect="00B12A17">
      <w:type w:val="continuous"/>
      <w:pgSz w:w="11906" w:h="16838" w:code="9"/>
      <w:pgMar w:top="1418" w:right="1418" w:bottom="1134" w:left="2835" w:header="709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EB16" w14:textId="77777777" w:rsidR="005B6404" w:rsidRDefault="005B6404" w:rsidP="00E03557">
      <w:r>
        <w:separator/>
      </w:r>
    </w:p>
  </w:endnote>
  <w:endnote w:type="continuationSeparator" w:id="0">
    <w:p w14:paraId="6C7FF784" w14:textId="77777777" w:rsidR="005B6404" w:rsidRDefault="005B6404" w:rsidP="00E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1626" w14:textId="77777777" w:rsidR="00B37DD8" w:rsidRDefault="00B37D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1999" w14:textId="77777777" w:rsidR="00FF32BA" w:rsidRDefault="00FF32B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F94F6A5" w14:textId="735A7B18" w:rsidR="00FF32BA" w:rsidRPr="00980180" w:rsidRDefault="00FF32B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680DE3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A015B" wp14:editId="0031035B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2B196" w14:textId="77777777" w:rsidR="00FF32BA" w:rsidRPr="00980180" w:rsidRDefault="00FF32BA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254A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A015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h5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" filled="f" fillcolor="#4f81bd" stroked="f" strokecolor="#737373">
              <v:textbox>
                <w:txbxContent>
                  <w:p w14:paraId="3932B196" w14:textId="77777777" w:rsidR="00FF32BA" w:rsidRPr="00980180" w:rsidRDefault="00FF32BA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98254A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2A05" w14:textId="77777777" w:rsidR="00B37DD8" w:rsidRDefault="00B37D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86EF" w14:textId="77777777" w:rsidR="005B6404" w:rsidRDefault="005B6404" w:rsidP="00E03557">
      <w:r>
        <w:separator/>
      </w:r>
    </w:p>
  </w:footnote>
  <w:footnote w:type="continuationSeparator" w:id="0">
    <w:p w14:paraId="15735505" w14:textId="77777777" w:rsidR="005B6404" w:rsidRDefault="005B6404" w:rsidP="00E0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8353" w14:textId="77777777" w:rsidR="00B37DD8" w:rsidRDefault="00B37D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5169" w14:textId="77777777" w:rsidR="00B37DD8" w:rsidRDefault="00B37D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1F67" w14:textId="77777777" w:rsidR="00B37DD8" w:rsidRDefault="00B37D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1CC"/>
    <w:multiLevelType w:val="hybridMultilevel"/>
    <w:tmpl w:val="4D74B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4C"/>
    <w:multiLevelType w:val="hybridMultilevel"/>
    <w:tmpl w:val="8FCAABEE"/>
    <w:lvl w:ilvl="0" w:tplc="54D4B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E78"/>
    <w:multiLevelType w:val="hybridMultilevel"/>
    <w:tmpl w:val="C5D643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5EBA"/>
    <w:multiLevelType w:val="hybridMultilevel"/>
    <w:tmpl w:val="7ED8826C"/>
    <w:lvl w:ilvl="0" w:tplc="54D4B49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24" w:hanging="360"/>
      </w:pPr>
    </w:lvl>
    <w:lvl w:ilvl="2" w:tplc="0816001B" w:tentative="1">
      <w:start w:val="1"/>
      <w:numFmt w:val="lowerRoman"/>
      <w:lvlText w:val="%3."/>
      <w:lvlJc w:val="right"/>
      <w:pPr>
        <w:ind w:left="2144" w:hanging="180"/>
      </w:pPr>
    </w:lvl>
    <w:lvl w:ilvl="3" w:tplc="0816000F" w:tentative="1">
      <w:start w:val="1"/>
      <w:numFmt w:val="decimal"/>
      <w:lvlText w:val="%4."/>
      <w:lvlJc w:val="left"/>
      <w:pPr>
        <w:ind w:left="2864" w:hanging="360"/>
      </w:pPr>
    </w:lvl>
    <w:lvl w:ilvl="4" w:tplc="08160019" w:tentative="1">
      <w:start w:val="1"/>
      <w:numFmt w:val="lowerLetter"/>
      <w:lvlText w:val="%5."/>
      <w:lvlJc w:val="left"/>
      <w:pPr>
        <w:ind w:left="3584" w:hanging="360"/>
      </w:pPr>
    </w:lvl>
    <w:lvl w:ilvl="5" w:tplc="0816001B" w:tentative="1">
      <w:start w:val="1"/>
      <w:numFmt w:val="lowerRoman"/>
      <w:lvlText w:val="%6."/>
      <w:lvlJc w:val="right"/>
      <w:pPr>
        <w:ind w:left="4304" w:hanging="180"/>
      </w:pPr>
    </w:lvl>
    <w:lvl w:ilvl="6" w:tplc="0816000F" w:tentative="1">
      <w:start w:val="1"/>
      <w:numFmt w:val="decimal"/>
      <w:lvlText w:val="%7."/>
      <w:lvlJc w:val="left"/>
      <w:pPr>
        <w:ind w:left="5024" w:hanging="360"/>
      </w:pPr>
    </w:lvl>
    <w:lvl w:ilvl="7" w:tplc="08160019" w:tentative="1">
      <w:start w:val="1"/>
      <w:numFmt w:val="lowerLetter"/>
      <w:lvlText w:val="%8."/>
      <w:lvlJc w:val="left"/>
      <w:pPr>
        <w:ind w:left="5744" w:hanging="360"/>
      </w:pPr>
    </w:lvl>
    <w:lvl w:ilvl="8" w:tplc="08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CB12094"/>
    <w:multiLevelType w:val="hybridMultilevel"/>
    <w:tmpl w:val="30429FAE"/>
    <w:lvl w:ilvl="0" w:tplc="54D4B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29C0"/>
    <w:multiLevelType w:val="hybridMultilevel"/>
    <w:tmpl w:val="9CC81A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0190"/>
    <w:multiLevelType w:val="hybridMultilevel"/>
    <w:tmpl w:val="8CAAF228"/>
    <w:lvl w:ilvl="0" w:tplc="031CB8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25"/>
    <w:rsid w:val="000062E3"/>
    <w:rsid w:val="000430DF"/>
    <w:rsid w:val="000764B7"/>
    <w:rsid w:val="00076647"/>
    <w:rsid w:val="000C1BEC"/>
    <w:rsid w:val="000E5E25"/>
    <w:rsid w:val="00114991"/>
    <w:rsid w:val="001549E0"/>
    <w:rsid w:val="0016482F"/>
    <w:rsid w:val="00176D8E"/>
    <w:rsid w:val="001C6572"/>
    <w:rsid w:val="001E782D"/>
    <w:rsid w:val="002A2B41"/>
    <w:rsid w:val="002C3817"/>
    <w:rsid w:val="002C7023"/>
    <w:rsid w:val="003170D6"/>
    <w:rsid w:val="00342772"/>
    <w:rsid w:val="003465DF"/>
    <w:rsid w:val="0036232C"/>
    <w:rsid w:val="0037227A"/>
    <w:rsid w:val="0039301D"/>
    <w:rsid w:val="003C6645"/>
    <w:rsid w:val="003E36E5"/>
    <w:rsid w:val="003F0A32"/>
    <w:rsid w:val="003F1F81"/>
    <w:rsid w:val="004260BE"/>
    <w:rsid w:val="00454E45"/>
    <w:rsid w:val="00483206"/>
    <w:rsid w:val="004835F1"/>
    <w:rsid w:val="004B19EF"/>
    <w:rsid w:val="004B2734"/>
    <w:rsid w:val="004C3562"/>
    <w:rsid w:val="004C641F"/>
    <w:rsid w:val="004F0E21"/>
    <w:rsid w:val="004F4B58"/>
    <w:rsid w:val="00557CEB"/>
    <w:rsid w:val="00590296"/>
    <w:rsid w:val="005A2473"/>
    <w:rsid w:val="005A4979"/>
    <w:rsid w:val="005B6404"/>
    <w:rsid w:val="005C54E8"/>
    <w:rsid w:val="005D144F"/>
    <w:rsid w:val="005E6465"/>
    <w:rsid w:val="0061526C"/>
    <w:rsid w:val="00617545"/>
    <w:rsid w:val="00673DF4"/>
    <w:rsid w:val="00680DE3"/>
    <w:rsid w:val="006C07F1"/>
    <w:rsid w:val="006E4CE3"/>
    <w:rsid w:val="0073309D"/>
    <w:rsid w:val="00735C33"/>
    <w:rsid w:val="00751289"/>
    <w:rsid w:val="007C5EC3"/>
    <w:rsid w:val="007E15BA"/>
    <w:rsid w:val="007F26B9"/>
    <w:rsid w:val="007F534B"/>
    <w:rsid w:val="008017DD"/>
    <w:rsid w:val="008042BC"/>
    <w:rsid w:val="00806D23"/>
    <w:rsid w:val="008206F7"/>
    <w:rsid w:val="008742B7"/>
    <w:rsid w:val="00876B31"/>
    <w:rsid w:val="00883910"/>
    <w:rsid w:val="008A550B"/>
    <w:rsid w:val="008F6ACA"/>
    <w:rsid w:val="00901FC3"/>
    <w:rsid w:val="009054BE"/>
    <w:rsid w:val="009354F0"/>
    <w:rsid w:val="0097518D"/>
    <w:rsid w:val="0098254A"/>
    <w:rsid w:val="009A66B5"/>
    <w:rsid w:val="00B12A17"/>
    <w:rsid w:val="00B12EB1"/>
    <w:rsid w:val="00B37DD8"/>
    <w:rsid w:val="00B8466F"/>
    <w:rsid w:val="00B855B1"/>
    <w:rsid w:val="00B87F0B"/>
    <w:rsid w:val="00BA46D6"/>
    <w:rsid w:val="00BA4C4C"/>
    <w:rsid w:val="00BA75BD"/>
    <w:rsid w:val="00C02110"/>
    <w:rsid w:val="00C85352"/>
    <w:rsid w:val="00D0040A"/>
    <w:rsid w:val="00D32ED0"/>
    <w:rsid w:val="00D35F25"/>
    <w:rsid w:val="00D67DA9"/>
    <w:rsid w:val="00DA5AD0"/>
    <w:rsid w:val="00DB4D67"/>
    <w:rsid w:val="00E03557"/>
    <w:rsid w:val="00E1127F"/>
    <w:rsid w:val="00E25C0D"/>
    <w:rsid w:val="00E26DD4"/>
    <w:rsid w:val="00E26F9F"/>
    <w:rsid w:val="00E5334F"/>
    <w:rsid w:val="00EA0A92"/>
    <w:rsid w:val="00EE67E8"/>
    <w:rsid w:val="00EF2937"/>
    <w:rsid w:val="00FC2A35"/>
    <w:rsid w:val="00FC2ACD"/>
    <w:rsid w:val="00FE7EC1"/>
    <w:rsid w:val="00FF32BA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F20F4"/>
  <w15:docId w15:val="{1A7FA0ED-FA02-4D5E-BDD4-F4741ED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25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rsid w:val="00615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12A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2A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E0355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03557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E0355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355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2021-05-26T23:00:00+00:00</DataDocumento>
    <IDFase xmlns="2e97e158-1a31-4bff-9a0a-f8ebffd34ea8">0</IDFase>
    <IDIniciativa xmlns="2e97e158-1a31-4bff-9a0a-f8ebffd34ea8">45508</IDIniciativa>
    <TipoDocumento xmlns="2e97e158-1a31-4bff-9a0a-f8ebffd34ea8">Texto</TipoDocumento>
    <NomeOriginalFicheiro xmlns="2e97e158-1a31-4bff-9a0a-f8ebffd34ea8">pjr787-XIV-sub.docx</NomeOriginalFicheiro>
    <NROrdem xmlns="2e97e158-1a31-4bff-9a0a-f8ebffd34ea8">0</NROrdem>
    <PublicarInternet xmlns="2e97e158-1a31-4bff-9a0a-f8ebffd34ea8">true</PublicarInternet>
    <NRIniciativa xmlns="2e97e158-1a31-4bff-9a0a-f8ebffd34ea8">787</NRIniciativa>
    <Legislatura xmlns="2e97e158-1a31-4bff-9a0a-f8ebffd34ea8">XIV</Legislatura>
    <Sessao xmlns="2e97e158-1a31-4bff-9a0a-f8ebffd34ea8">2ª</Sessa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922FE-86A0-4C9A-B827-509209513F1E}"/>
</file>

<file path=customXml/itemProps2.xml><?xml version="1.0" encoding="utf-8"?>
<ds:datastoreItem xmlns:ds="http://schemas.openxmlformats.org/officeDocument/2006/customXml" ds:itemID="{C2B1F12D-7769-4A6E-812C-F50224C24A65}">
  <ds:schemaRefs>
    <ds:schemaRef ds:uri="http://schemas.microsoft.com/office/2006/metadata/properties"/>
    <ds:schemaRef ds:uri="http://schemas.microsoft.com/office/infopath/2007/PartnerControls"/>
    <ds:schemaRef ds:uri="2e97e158-1a31-4bff-9a0a-f8ebffd34ea8"/>
  </ds:schemaRefs>
</ds:datastoreItem>
</file>

<file path=customXml/itemProps3.xml><?xml version="1.0" encoding="utf-8"?>
<ds:datastoreItem xmlns:ds="http://schemas.openxmlformats.org/officeDocument/2006/customXml" ds:itemID="{3A2E7E8B-FDBB-4725-A5D4-D84BA7936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6697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Projecto de Resolução n.º 385/XI</vt:lpstr>
      <vt:lpstr>Projecto de Resolução n.º 385/XI</vt:lpstr>
    </vt:vector>
  </TitlesOfParts>
  <Company>Assembleia da República - Palácio de S. Bento - 1249-068 Lisboa - Telefone: 21 391 7592 - Fax: 21 391 7459Email: bloco.esquerda@be.parlamento.pt - http:// www.beparlamento.net/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spereira</dc:creator>
  <cp:lastModifiedBy>Pedro Camacho</cp:lastModifiedBy>
  <cp:revision>2</cp:revision>
  <cp:lastPrinted>2011-07-14T15:37:00Z</cp:lastPrinted>
  <dcterms:created xsi:type="dcterms:W3CDTF">2021-05-28T08:52:00Z</dcterms:created>
  <dcterms:modified xsi:type="dcterms:W3CDTF">2021-05-28T08:52:00Z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410200</vt:r8>
  </property>
</Properties>
</file>