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B17F" w14:textId="77777777" w:rsidR="001D1FFA" w:rsidRPr="00C41844" w:rsidRDefault="001D1FFA" w:rsidP="003730CC">
      <w:pPr>
        <w:widowControl w:val="0"/>
        <w:spacing w:after="120" w:line="360" w:lineRule="auto"/>
        <w:jc w:val="both"/>
        <w:rPr>
          <w:rFonts w:ascii="Garamond" w:hAnsi="Garamond" w:cs="Calibri"/>
          <w:bCs/>
          <w:sz w:val="24"/>
          <w:szCs w:val="24"/>
        </w:rPr>
      </w:pPr>
    </w:p>
    <w:p w14:paraId="422C8B0B" w14:textId="4A691424" w:rsidR="007C708B" w:rsidRPr="007C708B" w:rsidRDefault="007C708B" w:rsidP="007C708B">
      <w:pPr>
        <w:tabs>
          <w:tab w:val="left" w:pos="4678"/>
          <w:tab w:val="left" w:pos="6237"/>
        </w:tabs>
        <w:spacing w:after="0" w:line="240" w:lineRule="auto"/>
        <w:ind w:firstLine="2410"/>
        <w:jc w:val="both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 w:rsidRPr="00FB1A8A">
        <w:rPr>
          <w:rFonts w:ascii="Arial" w:eastAsia="Times New Roman" w:hAnsi="Arial"/>
          <w:b/>
          <w:sz w:val="24"/>
          <w:szCs w:val="20"/>
          <w:lang w:eastAsia="pt-PT"/>
        </w:rPr>
        <w:t xml:space="preserve">Proposta de Lei </w:t>
      </w:r>
      <w:r w:rsidRPr="00FB1A8A">
        <w:rPr>
          <w:rFonts w:ascii="Palatino" w:eastAsia="Times New Roman" w:hAnsi="Palatino"/>
          <w:b/>
          <w:sz w:val="24"/>
          <w:szCs w:val="24"/>
          <w:lang w:eastAsia="pt-PT"/>
        </w:rPr>
        <w:t xml:space="preserve"> </w:t>
      </w:r>
      <w:r w:rsidRPr="00FB1A8A">
        <w:rPr>
          <w:rFonts w:ascii="Arial" w:eastAsia="Times New Roman" w:hAnsi="Arial"/>
          <w:b/>
          <w:sz w:val="24"/>
          <w:szCs w:val="20"/>
          <w:lang w:eastAsia="pt-PT"/>
        </w:rPr>
        <w:t>n.º</w:t>
      </w:r>
      <w:r>
        <w:rPr>
          <w:rFonts w:ascii="Arial" w:eastAsia="Times New Roman" w:hAnsi="Arial"/>
          <w:b/>
          <w:spacing w:val="20"/>
          <w:sz w:val="32"/>
          <w:szCs w:val="32"/>
          <w:lang w:eastAsia="pt-PT"/>
        </w:rPr>
        <w:t xml:space="preserve"> </w:t>
      </w:r>
      <w:r>
        <w:rPr>
          <w:rFonts w:ascii="Arial" w:eastAsia="Times New Roman" w:hAnsi="Arial"/>
          <w:b/>
          <w:spacing w:val="20"/>
          <w:sz w:val="24"/>
          <w:szCs w:val="24"/>
          <w:lang w:eastAsia="pt-PT"/>
        </w:rPr>
        <w:t>32/XIV</w:t>
      </w:r>
      <w:bookmarkStart w:id="0" w:name="_GoBack"/>
      <w:bookmarkEnd w:id="0"/>
    </w:p>
    <w:p w14:paraId="1F1F323A" w14:textId="341FC746" w:rsidR="00FB1A8A" w:rsidRPr="00C41844" w:rsidRDefault="00FB1A8A" w:rsidP="003730CC">
      <w:pPr>
        <w:widowControl w:val="0"/>
        <w:spacing w:after="120" w:line="360" w:lineRule="auto"/>
        <w:jc w:val="both"/>
        <w:rPr>
          <w:rFonts w:ascii="Garamond" w:hAnsi="Garamond" w:cs="Calibri"/>
          <w:b/>
          <w:sz w:val="24"/>
          <w:szCs w:val="24"/>
        </w:rPr>
      </w:pPr>
    </w:p>
    <w:p w14:paraId="0AD68CE7" w14:textId="77777777" w:rsidR="001D1FFA" w:rsidRPr="00C41844" w:rsidRDefault="001D1FFA" w:rsidP="003730CC">
      <w:pPr>
        <w:widowControl w:val="0"/>
        <w:spacing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C41844">
        <w:rPr>
          <w:rFonts w:ascii="Garamond" w:hAnsi="Garamond" w:cs="Calibri"/>
          <w:b/>
          <w:sz w:val="24"/>
          <w:szCs w:val="24"/>
        </w:rPr>
        <w:t>Exposição de Motivos</w:t>
      </w:r>
    </w:p>
    <w:p w14:paraId="63E82560" w14:textId="77777777" w:rsidR="00751B28" w:rsidRPr="00C41844" w:rsidRDefault="00E9090F" w:rsidP="003730CC">
      <w:pPr>
        <w:widowControl w:val="0"/>
        <w:spacing w:after="120" w:line="360" w:lineRule="auto"/>
        <w:jc w:val="both"/>
        <w:rPr>
          <w:rFonts w:ascii="Garamond" w:hAnsi="Garamond" w:cs="Calibri"/>
          <w:bCs/>
          <w:sz w:val="24"/>
          <w:szCs w:val="24"/>
        </w:rPr>
      </w:pPr>
      <w:r w:rsidRPr="00C41844">
        <w:rPr>
          <w:rFonts w:ascii="Garamond" w:hAnsi="Garamond" w:cs="Calibri"/>
          <w:bCs/>
          <w:sz w:val="24"/>
          <w:szCs w:val="24"/>
        </w:rPr>
        <w:t>Atendendo à emergência de saúde pública de âmbito internacional, qualificada pela Organização Mundial de Saúde como pandemia internacional no dia 11 de março de 2020, foi decretado o estado de emergência em Portugal</w:t>
      </w:r>
      <w:r w:rsidR="005F49BE" w:rsidRPr="00C41844">
        <w:rPr>
          <w:rFonts w:ascii="Garamond" w:hAnsi="Garamond" w:cs="Calibri"/>
          <w:bCs/>
          <w:sz w:val="24"/>
          <w:szCs w:val="24"/>
        </w:rPr>
        <w:t>, através do</w:t>
      </w:r>
      <w:r w:rsidRPr="00C41844">
        <w:rPr>
          <w:rFonts w:ascii="Garamond" w:hAnsi="Garamond" w:cs="Calibri"/>
          <w:bCs/>
          <w:sz w:val="24"/>
          <w:szCs w:val="24"/>
        </w:rPr>
        <w:t xml:space="preserve"> Decreto do Presidente da República n.º</w:t>
      </w:r>
      <w:r w:rsidR="00751B28" w:rsidRPr="00C41844">
        <w:rPr>
          <w:rFonts w:ascii="Garamond" w:hAnsi="Garamond" w:cs="Calibri"/>
          <w:bCs/>
          <w:sz w:val="24"/>
          <w:szCs w:val="24"/>
        </w:rPr>
        <w:t xml:space="preserve"> 14-A/2020, de 18 de março, entretanto renovado pelos Decretos do Presidente da República n.º</w:t>
      </w:r>
      <w:r w:rsidR="000D357B" w:rsidRPr="00C41844">
        <w:rPr>
          <w:rFonts w:ascii="Garamond" w:hAnsi="Garamond" w:cs="Calibri"/>
          <w:bCs/>
          <w:sz w:val="24"/>
          <w:szCs w:val="24"/>
        </w:rPr>
        <w:t>s</w:t>
      </w:r>
      <w:r w:rsidR="00751B28" w:rsidRPr="00C41844">
        <w:rPr>
          <w:rFonts w:ascii="Garamond" w:hAnsi="Garamond" w:cs="Calibri"/>
          <w:bCs/>
          <w:sz w:val="24"/>
          <w:szCs w:val="24"/>
        </w:rPr>
        <w:t xml:space="preserve"> </w:t>
      </w:r>
      <w:r w:rsidR="00834BF6" w:rsidRPr="00C41844">
        <w:rPr>
          <w:rFonts w:ascii="Garamond" w:hAnsi="Garamond" w:cs="Calibri"/>
          <w:bCs/>
          <w:sz w:val="24"/>
          <w:szCs w:val="24"/>
        </w:rPr>
        <w:t>17-A</w:t>
      </w:r>
      <w:r w:rsidR="00F96D69" w:rsidRPr="00C41844">
        <w:rPr>
          <w:rFonts w:ascii="Garamond" w:hAnsi="Garamond" w:cs="Calibri"/>
          <w:bCs/>
          <w:sz w:val="24"/>
          <w:szCs w:val="24"/>
        </w:rPr>
        <w:t>/2020</w:t>
      </w:r>
      <w:r w:rsidR="00834BF6" w:rsidRPr="00C41844">
        <w:rPr>
          <w:rFonts w:ascii="Garamond" w:hAnsi="Garamond" w:cs="Calibri"/>
          <w:bCs/>
          <w:sz w:val="24"/>
          <w:szCs w:val="24"/>
        </w:rPr>
        <w:t>, de 2 de abril</w:t>
      </w:r>
      <w:r w:rsidR="00F96D69" w:rsidRPr="00C41844">
        <w:rPr>
          <w:rFonts w:ascii="Garamond" w:hAnsi="Garamond" w:cs="Calibri"/>
          <w:bCs/>
          <w:sz w:val="24"/>
          <w:szCs w:val="24"/>
        </w:rPr>
        <w:t>,</w:t>
      </w:r>
      <w:r w:rsidR="00834BF6" w:rsidRPr="00C41844">
        <w:rPr>
          <w:rFonts w:ascii="Garamond" w:hAnsi="Garamond" w:cs="Calibri"/>
          <w:bCs/>
          <w:sz w:val="24"/>
          <w:szCs w:val="24"/>
        </w:rPr>
        <w:t xml:space="preserve"> e </w:t>
      </w:r>
      <w:r w:rsidR="003C5F5B" w:rsidRPr="00C41844">
        <w:rPr>
          <w:rFonts w:ascii="Garamond" w:hAnsi="Garamond" w:cs="Calibri"/>
          <w:bCs/>
          <w:sz w:val="24"/>
          <w:szCs w:val="24"/>
        </w:rPr>
        <w:t>20-A</w:t>
      </w:r>
      <w:r w:rsidR="00F96D69" w:rsidRPr="00C41844">
        <w:rPr>
          <w:rFonts w:ascii="Garamond" w:hAnsi="Garamond" w:cs="Calibri"/>
          <w:bCs/>
          <w:sz w:val="24"/>
          <w:szCs w:val="24"/>
        </w:rPr>
        <w:t>/2020</w:t>
      </w:r>
      <w:r w:rsidR="003C5F5B" w:rsidRPr="00C41844">
        <w:rPr>
          <w:rFonts w:ascii="Garamond" w:hAnsi="Garamond" w:cs="Calibri"/>
          <w:bCs/>
          <w:sz w:val="24"/>
          <w:szCs w:val="24"/>
        </w:rPr>
        <w:t>, de 17 de abril.</w:t>
      </w:r>
    </w:p>
    <w:p w14:paraId="5BEEBB33" w14:textId="77777777" w:rsidR="00286C08" w:rsidRPr="00C41844" w:rsidRDefault="002060A1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bookmarkStart w:id="1" w:name="_Hlk39167454"/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O Governo iniciou </w:t>
      </w:r>
      <w:r w:rsidR="008B4B03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já 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o processo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,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ainda que gradual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,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de levantamento das medidas de confinamento, através do Decreto-Lei n.º 20/2020, de 1 de maio, acautelando a retoma da normalidade possível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, não se perspetivando, contudo, a existência de uma situação de total normalidade 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no futuro imediato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>.</w:t>
      </w:r>
    </w:p>
    <w:p w14:paraId="70907FDF" w14:textId="77777777" w:rsidR="00286C08" w:rsidRPr="00C41844" w:rsidRDefault="00FB1A8A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Deste modo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, e atendendo a que as dificuldades económicas 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e sociais 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>motivadas pela pandemia d</w:t>
      </w:r>
      <w:r w:rsidR="00521964" w:rsidRPr="00C41844">
        <w:rPr>
          <w:rFonts w:ascii="Garamond" w:eastAsia="Times New Roman" w:hAnsi="Garamond"/>
          <w:bCs/>
          <w:sz w:val="24"/>
          <w:szCs w:val="24"/>
          <w:lang w:eastAsia="pt-PT"/>
        </w:rPr>
        <w:t>a doença d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o COVID-19 </w:t>
      </w:r>
      <w:r w:rsidR="00267CF2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devem </w:t>
      </w:r>
      <w:r w:rsidR="008B4B03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ainda 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>prolongar-se</w:t>
      </w:r>
      <w:r w:rsidR="00267CF2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e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ser garantida proteção a quem dela precise</w:t>
      </w:r>
      <w:r w:rsidR="002060A1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, 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considerando-se necessário proceder uma alteração à Lei n.º 4-C/2020, de 6 de abril, prorrogando a vigência do apoio financeiro previsto no artigo 5.º, bem como das medidas específicas relativas às entidades públicas, constantes no artigo 11.º. </w:t>
      </w:r>
    </w:p>
    <w:p w14:paraId="728680E0" w14:textId="77777777" w:rsidR="00B53E89" w:rsidRPr="00C41844" w:rsidRDefault="00B53E89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A opção pela prorrogação do alargamento da vigência somente para estas medidas no que respeita ao arrendamento habitacional prende-se com o facto de o apoio concedido pelo </w:t>
      </w:r>
      <w:r w:rsidR="00267CF2" w:rsidRPr="00C41844">
        <w:rPr>
          <w:rFonts w:ascii="Garamond" w:eastAsia="Times New Roman" w:hAnsi="Garamond"/>
          <w:bCs/>
          <w:sz w:val="24"/>
          <w:szCs w:val="24"/>
          <w:lang w:eastAsia="pt-PT"/>
        </w:rPr>
        <w:t>Instituto da Habitação e da Reabilitação Urbana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, I.</w:t>
      </w:r>
      <w:r w:rsidR="00267CF2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P., ao pagamento das rendas ser o instrumento mais favorável e vantajoso, quer para as famílias quer para os senhorios. Com efeito, este apoio assegura que as famílias têm o tempo e as condições necessárias para retomar as suas vidas com normalidade, prevendo que a regularização dos valores em dívida seja dilatada no tempo e evitando a sobrecarga com os encargos habitacionais, e, garante aos senhorios o recebimento atempado das rendas devidas.</w:t>
      </w:r>
    </w:p>
    <w:p w14:paraId="7CBEDE6B" w14:textId="77777777" w:rsidR="00C41844" w:rsidRDefault="00C41844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</w:p>
    <w:p w14:paraId="3EFF7CE4" w14:textId="77777777" w:rsidR="00C41844" w:rsidRDefault="00C41844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</w:p>
    <w:p w14:paraId="198F1078" w14:textId="41679D04" w:rsidR="008B4B03" w:rsidRPr="00C41844" w:rsidRDefault="00B53E89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Neste contexto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, 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e 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>dado que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se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reconhece que o fim d</w:t>
      </w:r>
      <w:r w:rsidR="008B4B03" w:rsidRPr="00C41844">
        <w:rPr>
          <w:rFonts w:ascii="Garamond" w:eastAsia="Times New Roman" w:hAnsi="Garamond"/>
          <w:bCs/>
          <w:sz w:val="24"/>
          <w:szCs w:val="24"/>
          <w:lang w:eastAsia="pt-PT"/>
        </w:rPr>
        <w:t>o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</w:t>
      </w:r>
      <w:r w:rsidR="00C15415" w:rsidRPr="00C41844">
        <w:rPr>
          <w:rFonts w:ascii="Garamond" w:eastAsia="Times New Roman" w:hAnsi="Garamond"/>
          <w:bCs/>
          <w:sz w:val="24"/>
          <w:szCs w:val="24"/>
          <w:lang w:eastAsia="pt-PT"/>
        </w:rPr>
        <w:t>e</w:t>
      </w:r>
      <w:r w:rsidR="008B4B03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stado de </w:t>
      </w:r>
      <w:r w:rsidR="00C15415" w:rsidRPr="00C41844">
        <w:rPr>
          <w:rFonts w:ascii="Garamond" w:eastAsia="Times New Roman" w:hAnsi="Garamond"/>
          <w:bCs/>
          <w:sz w:val="24"/>
          <w:szCs w:val="24"/>
          <w:lang w:eastAsia="pt-PT"/>
        </w:rPr>
        <w:t>e</w:t>
      </w:r>
      <w:r w:rsidR="008B4B03" w:rsidRPr="00C41844">
        <w:rPr>
          <w:rFonts w:ascii="Garamond" w:eastAsia="Times New Roman" w:hAnsi="Garamond"/>
          <w:bCs/>
          <w:sz w:val="24"/>
          <w:szCs w:val="24"/>
          <w:lang w:eastAsia="pt-PT"/>
        </w:rPr>
        <w:t>mergência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não significou o fim dos constrangimentos e dificuldades 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sociais </w:t>
      </w:r>
      <w:r w:rsidR="00286C08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económicas de muitos portugueses, </w:t>
      </w:r>
      <w:r w:rsidR="00832A94" w:rsidRPr="00C41844">
        <w:rPr>
          <w:rFonts w:ascii="Garamond" w:eastAsia="Times New Roman" w:hAnsi="Garamond"/>
          <w:bCs/>
          <w:sz w:val="24"/>
          <w:szCs w:val="24"/>
          <w:lang w:eastAsia="pt-PT"/>
        </w:rPr>
        <w:t>considerou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-se fundamental que o período de vigência </w:t>
      </w:r>
      <w:r w:rsidR="00832A94" w:rsidRPr="00C41844">
        <w:rPr>
          <w:rFonts w:ascii="Garamond" w:eastAsia="Times New Roman" w:hAnsi="Garamond"/>
          <w:bCs/>
          <w:sz w:val="24"/>
          <w:szCs w:val="24"/>
          <w:lang w:eastAsia="pt-PT"/>
        </w:rPr>
        <w:t>do artigo 5.º da Lei n.º 4-C/2020, de 6 de abril, fosse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prologado</w:t>
      </w:r>
      <w:r w:rsidR="00832A94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até setembro</w:t>
      </w:r>
      <w:r w:rsidR="00C15415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de 2020.</w:t>
      </w:r>
    </w:p>
    <w:p w14:paraId="20778058" w14:textId="77777777" w:rsidR="00286C08" w:rsidRPr="00C41844" w:rsidRDefault="00286C08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Igualmente, no parque habitacional público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, </w:t>
      </w:r>
      <w:r w:rsidR="00832A94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dado que neste residem muitas famílias em situação de vulnerabilidade, e 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de modo a conferir o enquadramento legal adequado para que os municípios e as restantes entidades públicas gestoras de património habitacional possam tomar as decisões que considerem adequadas face à situação específica das famílias suas arrendatárias,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também se prev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ê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igual 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alargamento d</w:t>
      </w:r>
      <w:r w:rsidR="00832A94" w:rsidRPr="00C41844">
        <w:rPr>
          <w:rFonts w:ascii="Garamond" w:eastAsia="Times New Roman" w:hAnsi="Garamond"/>
          <w:bCs/>
          <w:sz w:val="24"/>
          <w:szCs w:val="24"/>
          <w:lang w:eastAsia="pt-PT"/>
        </w:rPr>
        <w:t>e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vigência relativamente ao artigo 11.º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da Lei n.º 4-C/2020</w:t>
      </w:r>
      <w:r w:rsidR="00B53E89" w:rsidRPr="00C41844">
        <w:rPr>
          <w:rFonts w:ascii="Garamond" w:eastAsia="Times New Roman" w:hAnsi="Garamond"/>
          <w:bCs/>
          <w:sz w:val="24"/>
          <w:szCs w:val="24"/>
          <w:lang w:eastAsia="pt-PT"/>
        </w:rPr>
        <w:t>, de 6 de abril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.</w:t>
      </w:r>
    </w:p>
    <w:p w14:paraId="23838504" w14:textId="307C3681" w:rsidR="00F0724F" w:rsidRPr="00C41844" w:rsidRDefault="00F0724F" w:rsidP="00286C08">
      <w:pPr>
        <w:widowControl w:val="0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Sublinhe-se, ainda, que os efeitos da drástica redução da atividade económica devem ser considerados, demonstrando-se ser urgente a adequação de um conjunto de medidas destinadas a assegurar, não apenas, o tratamento da doença COVID-19 em Portugal e a diminuição do risco de transmissão da doença, mas, também, pela diminuição e mitigação dos impactos económicos advenientes deste surto epidémico, nomeadamente evitando-se consequências nefastas decorrentes do atraso no pagamento de rendas afetas a estabelecimento comerciais, durante o período em que, no quadro da retoma faseada das atividades económicas, a sua atividade permaneça suspensa ao abrigo de disposição legal ou medida administrativa aprovada no âmbito da pandemia </w:t>
      </w:r>
      <w:r w:rsidR="00521964" w:rsidRPr="00C41844">
        <w:rPr>
          <w:rFonts w:ascii="Garamond" w:eastAsia="Times New Roman" w:hAnsi="Garamond"/>
          <w:bCs/>
          <w:sz w:val="24"/>
          <w:szCs w:val="24"/>
          <w:lang w:eastAsia="pt-PT"/>
        </w:rPr>
        <w:t>da</w:t>
      </w: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 xml:space="preserve"> doença COVID-19,  o que poderia agravar  a situação dos agentes económicos.</w:t>
      </w:r>
    </w:p>
    <w:p w14:paraId="0792A427" w14:textId="6A6719E2" w:rsidR="000301BA" w:rsidRDefault="00C15415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  <w:r w:rsidRPr="00C41844">
        <w:rPr>
          <w:rFonts w:ascii="Garamond" w:hAnsi="Garamond"/>
          <w:bCs/>
          <w:sz w:val="24"/>
          <w:szCs w:val="24"/>
          <w:shd w:val="clear" w:color="auto" w:fill="FFFFFF"/>
        </w:rPr>
        <w:t>Por fim</w:t>
      </w:r>
      <w:r w:rsidR="00F376FF" w:rsidRPr="00C41844">
        <w:rPr>
          <w:rFonts w:ascii="Garamond" w:hAnsi="Garamond"/>
          <w:bCs/>
          <w:sz w:val="24"/>
          <w:szCs w:val="24"/>
          <w:shd w:val="clear" w:color="auto" w:fill="FFFFFF"/>
        </w:rPr>
        <w:t xml:space="preserve">, dado que </w:t>
      </w:r>
      <w:r w:rsidR="00A9179D" w:rsidRPr="00C41844">
        <w:rPr>
          <w:rFonts w:ascii="Garamond" w:hAnsi="Garamond"/>
          <w:bCs/>
          <w:sz w:val="24"/>
          <w:szCs w:val="24"/>
          <w:shd w:val="clear" w:color="auto" w:fill="FFFFFF"/>
        </w:rPr>
        <w:t>a</w:t>
      </w:r>
      <w:r w:rsidR="00713502" w:rsidRPr="00C41844">
        <w:rPr>
          <w:rFonts w:ascii="Garamond" w:hAnsi="Garamond"/>
          <w:bCs/>
          <w:sz w:val="24"/>
          <w:szCs w:val="24"/>
          <w:shd w:val="clear" w:color="auto" w:fill="FFFFFF"/>
        </w:rPr>
        <w:t xml:space="preserve">lgumas das medidas cuja adoção </w:t>
      </w:r>
      <w:r w:rsidR="003D378C" w:rsidRPr="00C41844">
        <w:rPr>
          <w:rFonts w:ascii="Garamond" w:hAnsi="Garamond"/>
          <w:bCs/>
          <w:sz w:val="24"/>
          <w:szCs w:val="24"/>
          <w:shd w:val="clear" w:color="auto" w:fill="FFFFFF"/>
        </w:rPr>
        <w:t>se afigura como</w:t>
      </w:r>
      <w:r w:rsidR="00713502" w:rsidRPr="00C41844">
        <w:rPr>
          <w:rFonts w:ascii="Garamond" w:hAnsi="Garamond"/>
          <w:bCs/>
          <w:sz w:val="24"/>
          <w:szCs w:val="24"/>
          <w:shd w:val="clear" w:color="auto" w:fill="FFFFFF"/>
        </w:rPr>
        <w:t xml:space="preserve"> necessária </w:t>
      </w:r>
      <w:r w:rsidR="000301BA" w:rsidRPr="00C41844">
        <w:rPr>
          <w:rFonts w:ascii="Garamond" w:hAnsi="Garamond"/>
          <w:bCs/>
          <w:sz w:val="24"/>
          <w:szCs w:val="24"/>
          <w:shd w:val="clear" w:color="auto" w:fill="FFFFFF"/>
        </w:rPr>
        <w:t>integra</w:t>
      </w:r>
      <w:r w:rsidR="00713502" w:rsidRPr="00C41844">
        <w:rPr>
          <w:rFonts w:ascii="Garamond" w:hAnsi="Garamond"/>
          <w:bCs/>
          <w:sz w:val="24"/>
          <w:szCs w:val="24"/>
          <w:shd w:val="clear" w:color="auto" w:fill="FFFFFF"/>
        </w:rPr>
        <w:t>m</w:t>
      </w:r>
      <w:r w:rsidR="000301BA" w:rsidRPr="00C41844">
        <w:rPr>
          <w:rFonts w:ascii="Garamond" w:hAnsi="Garamond"/>
          <w:bCs/>
          <w:sz w:val="24"/>
          <w:szCs w:val="24"/>
          <w:shd w:val="clear" w:color="auto" w:fill="FFFFFF"/>
        </w:rPr>
        <w:t xml:space="preserve"> reserva</w:t>
      </w:r>
      <w:r w:rsidR="003D378C" w:rsidRPr="00C41844">
        <w:rPr>
          <w:rFonts w:ascii="Garamond" w:hAnsi="Garamond"/>
          <w:bCs/>
          <w:sz w:val="24"/>
          <w:szCs w:val="24"/>
          <w:shd w:val="clear" w:color="auto" w:fill="FFFFFF"/>
        </w:rPr>
        <w:t xml:space="preserve"> de competência da Assembleia da República</w:t>
      </w:r>
      <w:r w:rsidR="00A9179D" w:rsidRPr="00C41844">
        <w:rPr>
          <w:rFonts w:ascii="Garamond" w:hAnsi="Garamond"/>
          <w:bCs/>
          <w:sz w:val="24"/>
          <w:szCs w:val="24"/>
          <w:shd w:val="clear" w:color="auto" w:fill="FFFFFF"/>
        </w:rPr>
        <w:t>, o Governo apresenta a presente proposta de lei</w:t>
      </w:r>
      <w:r w:rsidR="003D378C" w:rsidRPr="00C41844">
        <w:rPr>
          <w:rFonts w:ascii="Garamond" w:hAnsi="Garamond"/>
          <w:bCs/>
          <w:sz w:val="24"/>
          <w:szCs w:val="24"/>
          <w:shd w:val="clear" w:color="auto" w:fill="FFFFFF"/>
        </w:rPr>
        <w:t>.</w:t>
      </w:r>
    </w:p>
    <w:p w14:paraId="1058D1E4" w14:textId="17601CCF" w:rsidR="00C41844" w:rsidRDefault="00C41844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14:paraId="5D3DEBF1" w14:textId="598B3EA5" w:rsidR="00C41844" w:rsidRDefault="00C41844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14:paraId="4DEF35BA" w14:textId="77777777" w:rsidR="00C41844" w:rsidRPr="00C41844" w:rsidRDefault="00C41844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bookmarkEnd w:id="1"/>
    <w:p w14:paraId="6C544213" w14:textId="77777777" w:rsidR="00210F6F" w:rsidRPr="00C41844" w:rsidRDefault="00E1098D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Assim</w:t>
      </w:r>
      <w:r w:rsidR="003730CC" w:rsidRPr="00C41844">
        <w:rPr>
          <w:rFonts w:ascii="Garamond" w:eastAsia="Times New Roman" w:hAnsi="Garamond"/>
          <w:bCs/>
          <w:sz w:val="24"/>
          <w:szCs w:val="24"/>
          <w:lang w:eastAsia="pt-PT"/>
        </w:rPr>
        <w:t>:</w:t>
      </w:r>
    </w:p>
    <w:p w14:paraId="7777D3A0" w14:textId="77777777" w:rsidR="009547A9" w:rsidRPr="00C41844" w:rsidRDefault="004900D1" w:rsidP="003730CC">
      <w:pPr>
        <w:widowControl w:val="0"/>
        <w:shd w:val="clear" w:color="auto" w:fill="FFFFFF"/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hAnsi="Garamond"/>
          <w:bCs/>
          <w:sz w:val="24"/>
          <w:szCs w:val="24"/>
        </w:rPr>
        <w:t xml:space="preserve">Nos termos da alínea </w:t>
      </w:r>
      <w:r w:rsidRPr="00C41844">
        <w:rPr>
          <w:rFonts w:ascii="Garamond" w:hAnsi="Garamond"/>
          <w:bCs/>
          <w:i/>
          <w:iCs/>
          <w:sz w:val="24"/>
          <w:szCs w:val="24"/>
        </w:rPr>
        <w:t>d)</w:t>
      </w:r>
      <w:r w:rsidRPr="00C41844">
        <w:rPr>
          <w:rFonts w:ascii="Garamond" w:hAnsi="Garamond"/>
          <w:bCs/>
          <w:sz w:val="24"/>
          <w:szCs w:val="24"/>
        </w:rPr>
        <w:t xml:space="preserve"> do n.º 1 do artigo 197.º da Constituição, o Governo apresenta à Assembleia da República a seguinte proposta de lei, com pedido de prioridade e urgência</w:t>
      </w:r>
      <w:r w:rsidR="009547A9" w:rsidRPr="00C41844">
        <w:rPr>
          <w:rFonts w:ascii="Garamond" w:eastAsia="Times New Roman" w:hAnsi="Garamond"/>
          <w:bCs/>
          <w:sz w:val="24"/>
          <w:szCs w:val="24"/>
          <w:lang w:eastAsia="pt-PT"/>
        </w:rPr>
        <w:t>:</w:t>
      </w:r>
    </w:p>
    <w:p w14:paraId="4AFEA3BA" w14:textId="77777777" w:rsidR="00F6553D" w:rsidRPr="00C41844" w:rsidRDefault="00F6553D" w:rsidP="003730CC">
      <w:pPr>
        <w:widowControl w:val="0"/>
        <w:shd w:val="clear" w:color="auto" w:fill="FFFFFF"/>
        <w:spacing w:after="120" w:line="360" w:lineRule="auto"/>
        <w:jc w:val="center"/>
        <w:rPr>
          <w:rFonts w:ascii="Garamond" w:eastAsia="Times New Roman" w:hAnsi="Garamond"/>
          <w:bCs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Cs/>
          <w:sz w:val="24"/>
          <w:szCs w:val="24"/>
          <w:lang w:eastAsia="pt-PT"/>
        </w:rPr>
        <w:t>Artigo 1.º</w:t>
      </w:r>
    </w:p>
    <w:p w14:paraId="25DBE120" w14:textId="77777777" w:rsidR="00F6553D" w:rsidRPr="00C41844" w:rsidRDefault="00F6553D" w:rsidP="003730CC">
      <w:pPr>
        <w:widowControl w:val="0"/>
        <w:shd w:val="clear" w:color="auto" w:fill="FFFFFF"/>
        <w:spacing w:after="12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t-PT"/>
        </w:rPr>
      </w:pPr>
      <w:r w:rsidRPr="00C41844">
        <w:rPr>
          <w:rFonts w:ascii="Garamond" w:eastAsia="Times New Roman" w:hAnsi="Garamond"/>
          <w:b/>
          <w:sz w:val="24"/>
          <w:szCs w:val="24"/>
          <w:lang w:eastAsia="pt-PT"/>
        </w:rPr>
        <w:t xml:space="preserve">Objeto </w:t>
      </w:r>
    </w:p>
    <w:p w14:paraId="7F585832" w14:textId="77777777" w:rsidR="004E695F" w:rsidRPr="00C41844" w:rsidRDefault="009547A9" w:rsidP="003730CC">
      <w:pPr>
        <w:widowControl w:val="0"/>
        <w:spacing w:after="120" w:line="360" w:lineRule="auto"/>
        <w:jc w:val="both"/>
        <w:rPr>
          <w:rFonts w:ascii="Garamond" w:hAnsi="Garamond" w:cs="Calibri"/>
          <w:bCs/>
          <w:sz w:val="24"/>
          <w:szCs w:val="24"/>
        </w:rPr>
      </w:pPr>
      <w:bookmarkStart w:id="2" w:name="_Hlk37114027"/>
      <w:r w:rsidRPr="00C41844">
        <w:rPr>
          <w:rFonts w:ascii="Garamond" w:hAnsi="Garamond" w:cs="Calibri"/>
          <w:bCs/>
          <w:sz w:val="24"/>
          <w:szCs w:val="24"/>
        </w:rPr>
        <w:t>A</w:t>
      </w:r>
      <w:r w:rsidR="003A4A47" w:rsidRPr="00C41844">
        <w:rPr>
          <w:rFonts w:ascii="Garamond" w:hAnsi="Garamond" w:cs="Calibri"/>
          <w:bCs/>
          <w:sz w:val="24"/>
          <w:szCs w:val="24"/>
        </w:rPr>
        <w:t xml:space="preserve"> presente </w:t>
      </w:r>
      <w:r w:rsidRPr="00C41844">
        <w:rPr>
          <w:rFonts w:ascii="Garamond" w:hAnsi="Garamond" w:cs="Calibri"/>
          <w:bCs/>
          <w:sz w:val="24"/>
          <w:szCs w:val="24"/>
        </w:rPr>
        <w:t>l</w:t>
      </w:r>
      <w:r w:rsidR="003A4A47" w:rsidRPr="00C41844">
        <w:rPr>
          <w:rFonts w:ascii="Garamond" w:hAnsi="Garamond" w:cs="Calibri"/>
          <w:bCs/>
          <w:sz w:val="24"/>
          <w:szCs w:val="24"/>
        </w:rPr>
        <w:t>ei procede</w:t>
      </w:r>
      <w:r w:rsidR="00AC5443" w:rsidRPr="00C41844">
        <w:rPr>
          <w:rFonts w:ascii="Garamond" w:hAnsi="Garamond" w:cs="Calibri"/>
          <w:bCs/>
          <w:sz w:val="24"/>
          <w:szCs w:val="24"/>
        </w:rPr>
        <w:t xml:space="preserve"> à </w:t>
      </w:r>
      <w:r w:rsidR="00A60F46" w:rsidRPr="00C41844">
        <w:rPr>
          <w:rFonts w:ascii="Garamond" w:hAnsi="Garamond" w:cs="Calibri"/>
          <w:bCs/>
          <w:sz w:val="24"/>
          <w:szCs w:val="24"/>
        </w:rPr>
        <w:t xml:space="preserve">primeira </w:t>
      </w:r>
      <w:r w:rsidR="003A4A47" w:rsidRPr="00C41844">
        <w:rPr>
          <w:rFonts w:ascii="Garamond" w:hAnsi="Garamond" w:cs="Calibri"/>
          <w:bCs/>
          <w:sz w:val="24"/>
          <w:szCs w:val="24"/>
        </w:rPr>
        <w:t xml:space="preserve">alteração </w:t>
      </w:r>
      <w:r w:rsidRPr="00C41844">
        <w:rPr>
          <w:rFonts w:ascii="Garamond" w:hAnsi="Garamond" w:cs="Calibri"/>
          <w:bCs/>
          <w:sz w:val="24"/>
          <w:szCs w:val="24"/>
        </w:rPr>
        <w:t xml:space="preserve">à Lei n.º </w:t>
      </w:r>
      <w:r w:rsidR="00A60F46" w:rsidRPr="00C41844">
        <w:rPr>
          <w:rFonts w:ascii="Garamond" w:hAnsi="Garamond" w:cs="Calibri"/>
          <w:bCs/>
          <w:sz w:val="24"/>
          <w:szCs w:val="24"/>
        </w:rPr>
        <w:t>4</w:t>
      </w:r>
      <w:r w:rsidRPr="00C41844">
        <w:rPr>
          <w:rFonts w:ascii="Garamond" w:hAnsi="Garamond" w:cs="Calibri"/>
          <w:bCs/>
          <w:sz w:val="24"/>
          <w:szCs w:val="24"/>
        </w:rPr>
        <w:t>-</w:t>
      </w:r>
      <w:r w:rsidR="00A60F46" w:rsidRPr="00C41844">
        <w:rPr>
          <w:rFonts w:ascii="Garamond" w:hAnsi="Garamond" w:cs="Calibri"/>
          <w:bCs/>
          <w:sz w:val="24"/>
          <w:szCs w:val="24"/>
        </w:rPr>
        <w:t>C</w:t>
      </w:r>
      <w:r w:rsidRPr="00C41844">
        <w:rPr>
          <w:rFonts w:ascii="Garamond" w:hAnsi="Garamond" w:cs="Calibri"/>
          <w:bCs/>
          <w:sz w:val="24"/>
          <w:szCs w:val="24"/>
        </w:rPr>
        <w:t xml:space="preserve">/2020, de </w:t>
      </w:r>
      <w:r w:rsidR="00A60F46" w:rsidRPr="00C41844">
        <w:rPr>
          <w:rFonts w:ascii="Garamond" w:hAnsi="Garamond" w:cs="Calibri"/>
          <w:bCs/>
          <w:sz w:val="24"/>
          <w:szCs w:val="24"/>
        </w:rPr>
        <w:t xml:space="preserve">6 </w:t>
      </w:r>
      <w:r w:rsidRPr="00C41844">
        <w:rPr>
          <w:rFonts w:ascii="Garamond" w:hAnsi="Garamond" w:cs="Calibri"/>
          <w:bCs/>
          <w:sz w:val="24"/>
          <w:szCs w:val="24"/>
        </w:rPr>
        <w:t xml:space="preserve">de </w:t>
      </w:r>
      <w:r w:rsidR="00A60F46" w:rsidRPr="00C41844">
        <w:rPr>
          <w:rFonts w:ascii="Garamond" w:hAnsi="Garamond" w:cs="Calibri"/>
          <w:bCs/>
          <w:sz w:val="24"/>
          <w:szCs w:val="24"/>
        </w:rPr>
        <w:t>abril</w:t>
      </w:r>
      <w:r w:rsidR="002A2C46" w:rsidRPr="00C41844">
        <w:rPr>
          <w:rFonts w:ascii="Garamond" w:hAnsi="Garamond" w:cs="Calibri"/>
          <w:bCs/>
          <w:sz w:val="24"/>
          <w:szCs w:val="24"/>
        </w:rPr>
        <w:t xml:space="preserve">, </w:t>
      </w:r>
      <w:r w:rsidR="00872BAF" w:rsidRPr="00C41844">
        <w:rPr>
          <w:rFonts w:ascii="Garamond" w:hAnsi="Garamond" w:cs="Calibri"/>
          <w:bCs/>
          <w:sz w:val="24"/>
          <w:szCs w:val="24"/>
        </w:rPr>
        <w:t xml:space="preserve">que </w:t>
      </w:r>
      <w:r w:rsidR="00A60F46" w:rsidRPr="00C41844">
        <w:rPr>
          <w:rFonts w:ascii="Garamond" w:hAnsi="Garamond" w:cs="Calibri"/>
          <w:bCs/>
          <w:sz w:val="24"/>
          <w:szCs w:val="24"/>
        </w:rPr>
        <w:t xml:space="preserve">estabelece um regime excecional para as situações de mora no pagamento da renda devida nos termos de contratos de arrendamento urbano habitacional e não habitacional, </w:t>
      </w:r>
      <w:r w:rsidR="006E7333" w:rsidRPr="00C41844">
        <w:rPr>
          <w:rFonts w:ascii="Garamond" w:hAnsi="Garamond" w:cs="Calibri"/>
          <w:bCs/>
          <w:sz w:val="24"/>
          <w:szCs w:val="24"/>
        </w:rPr>
        <w:t>no âmbito da pandemia</w:t>
      </w:r>
      <w:r w:rsidR="00D54D8D" w:rsidRPr="00C41844">
        <w:rPr>
          <w:rFonts w:ascii="Garamond" w:hAnsi="Garamond" w:cs="Calibri"/>
          <w:bCs/>
          <w:sz w:val="24"/>
          <w:szCs w:val="24"/>
        </w:rPr>
        <w:t xml:space="preserve"> da doença</w:t>
      </w:r>
      <w:r w:rsidR="00A60F46" w:rsidRPr="00C41844">
        <w:rPr>
          <w:rFonts w:ascii="Garamond" w:hAnsi="Garamond" w:cs="Calibri"/>
          <w:bCs/>
          <w:sz w:val="24"/>
          <w:szCs w:val="24"/>
        </w:rPr>
        <w:t xml:space="preserve"> COVID-19.</w:t>
      </w:r>
    </w:p>
    <w:p w14:paraId="7B3C729E" w14:textId="77777777" w:rsidR="00F6553D" w:rsidRPr="00C41844" w:rsidRDefault="00F6553D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  <w:bookmarkStart w:id="3" w:name="_Hlk38803699"/>
      <w:r w:rsidRPr="00C41844">
        <w:rPr>
          <w:rFonts w:ascii="Garamond" w:hAnsi="Garamond" w:cs="Calibri"/>
          <w:bCs/>
          <w:sz w:val="24"/>
          <w:szCs w:val="24"/>
        </w:rPr>
        <w:t>Artigo 2.º</w:t>
      </w:r>
    </w:p>
    <w:p w14:paraId="59060C5C" w14:textId="77777777" w:rsidR="00E36A23" w:rsidRPr="00C41844" w:rsidRDefault="00E36A23" w:rsidP="003730CC">
      <w:pPr>
        <w:widowControl w:val="0"/>
        <w:spacing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  <w:bookmarkStart w:id="4" w:name="_Hlk37113982"/>
      <w:bookmarkEnd w:id="2"/>
      <w:r w:rsidRPr="00C41844">
        <w:rPr>
          <w:rFonts w:ascii="Garamond" w:hAnsi="Garamond" w:cs="Calibri"/>
          <w:b/>
          <w:sz w:val="24"/>
          <w:szCs w:val="24"/>
        </w:rPr>
        <w:t xml:space="preserve">Alteração </w:t>
      </w:r>
      <w:r w:rsidR="007A4530" w:rsidRPr="00C41844">
        <w:rPr>
          <w:rFonts w:ascii="Garamond" w:hAnsi="Garamond" w:cs="Calibri"/>
          <w:b/>
          <w:sz w:val="24"/>
          <w:szCs w:val="24"/>
        </w:rPr>
        <w:t xml:space="preserve">à Lei n.º </w:t>
      </w:r>
      <w:r w:rsidR="00A60F46" w:rsidRPr="00C41844">
        <w:rPr>
          <w:rFonts w:ascii="Garamond" w:hAnsi="Garamond" w:cs="Calibri"/>
          <w:b/>
          <w:sz w:val="24"/>
          <w:szCs w:val="24"/>
        </w:rPr>
        <w:t>4</w:t>
      </w:r>
      <w:r w:rsidR="007A4530" w:rsidRPr="00C41844">
        <w:rPr>
          <w:rFonts w:ascii="Garamond" w:hAnsi="Garamond" w:cs="Calibri"/>
          <w:b/>
          <w:sz w:val="24"/>
          <w:szCs w:val="24"/>
        </w:rPr>
        <w:t>-</w:t>
      </w:r>
      <w:r w:rsidR="00A60F46" w:rsidRPr="00C41844">
        <w:rPr>
          <w:rFonts w:ascii="Garamond" w:hAnsi="Garamond" w:cs="Calibri"/>
          <w:b/>
          <w:sz w:val="24"/>
          <w:szCs w:val="24"/>
        </w:rPr>
        <w:t>C</w:t>
      </w:r>
      <w:r w:rsidR="007A4530" w:rsidRPr="00C41844">
        <w:rPr>
          <w:rFonts w:ascii="Garamond" w:hAnsi="Garamond" w:cs="Calibri"/>
          <w:b/>
          <w:sz w:val="24"/>
          <w:szCs w:val="24"/>
        </w:rPr>
        <w:t>/2020</w:t>
      </w:r>
      <w:bookmarkStart w:id="5" w:name="_Hlk38732246"/>
      <w:r w:rsidRPr="00C41844">
        <w:rPr>
          <w:rFonts w:ascii="Garamond" w:hAnsi="Garamond" w:cs="Calibri"/>
          <w:b/>
          <w:sz w:val="24"/>
          <w:szCs w:val="24"/>
        </w:rPr>
        <w:t xml:space="preserve">, de </w:t>
      </w:r>
      <w:bookmarkEnd w:id="5"/>
      <w:r w:rsidR="00A60F46" w:rsidRPr="00C41844">
        <w:rPr>
          <w:rFonts w:ascii="Garamond" w:hAnsi="Garamond" w:cs="Calibri"/>
          <w:b/>
          <w:sz w:val="24"/>
          <w:szCs w:val="24"/>
        </w:rPr>
        <w:t>6 de abril</w:t>
      </w:r>
    </w:p>
    <w:p w14:paraId="58151417" w14:textId="77777777" w:rsidR="00E36A23" w:rsidRPr="00C41844" w:rsidRDefault="003A4A47" w:rsidP="003730CC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O</w:t>
      </w:r>
      <w:r w:rsidR="00F0724F" w:rsidRPr="00C41844">
        <w:rPr>
          <w:rFonts w:ascii="Garamond" w:hAnsi="Garamond"/>
          <w:bCs/>
          <w:sz w:val="24"/>
          <w:szCs w:val="24"/>
        </w:rPr>
        <w:t>s</w:t>
      </w:r>
      <w:r w:rsidRPr="00C41844">
        <w:rPr>
          <w:rFonts w:ascii="Garamond" w:hAnsi="Garamond"/>
          <w:bCs/>
          <w:sz w:val="24"/>
          <w:szCs w:val="24"/>
        </w:rPr>
        <w:t xml:space="preserve"> artigo</w:t>
      </w:r>
      <w:r w:rsidR="00F0724F" w:rsidRPr="00C41844">
        <w:rPr>
          <w:rFonts w:ascii="Garamond" w:hAnsi="Garamond"/>
          <w:bCs/>
          <w:sz w:val="24"/>
          <w:szCs w:val="24"/>
        </w:rPr>
        <w:t xml:space="preserve">s 7.º, 8.º, 9.º, 10.º, 12.º e </w:t>
      </w:r>
      <w:r w:rsidR="00F22F7F" w:rsidRPr="00C41844">
        <w:rPr>
          <w:rFonts w:ascii="Garamond" w:hAnsi="Garamond"/>
          <w:bCs/>
          <w:sz w:val="24"/>
          <w:szCs w:val="24"/>
        </w:rPr>
        <w:t>14</w:t>
      </w:r>
      <w:r w:rsidR="003C2C18" w:rsidRPr="00C41844">
        <w:rPr>
          <w:rFonts w:ascii="Garamond" w:hAnsi="Garamond"/>
          <w:bCs/>
          <w:sz w:val="24"/>
          <w:szCs w:val="24"/>
        </w:rPr>
        <w:t xml:space="preserve">.º </w:t>
      </w:r>
      <w:r w:rsidRPr="00C41844">
        <w:rPr>
          <w:rFonts w:ascii="Garamond" w:hAnsi="Garamond"/>
          <w:bCs/>
          <w:sz w:val="24"/>
          <w:szCs w:val="24"/>
        </w:rPr>
        <w:t>d</w:t>
      </w:r>
      <w:r w:rsidR="007A4530" w:rsidRPr="00C41844">
        <w:rPr>
          <w:rFonts w:ascii="Garamond" w:hAnsi="Garamond"/>
          <w:bCs/>
          <w:sz w:val="24"/>
          <w:szCs w:val="24"/>
        </w:rPr>
        <w:t>a</w:t>
      </w:r>
      <w:r w:rsidRPr="00C41844">
        <w:rPr>
          <w:rFonts w:ascii="Garamond" w:hAnsi="Garamond"/>
          <w:bCs/>
          <w:sz w:val="24"/>
          <w:szCs w:val="24"/>
        </w:rPr>
        <w:t xml:space="preserve"> Lei n.º </w:t>
      </w:r>
      <w:r w:rsidR="00A60F46" w:rsidRPr="00C41844">
        <w:rPr>
          <w:rFonts w:ascii="Garamond" w:hAnsi="Garamond"/>
          <w:bCs/>
          <w:sz w:val="24"/>
          <w:szCs w:val="24"/>
        </w:rPr>
        <w:t>4</w:t>
      </w:r>
      <w:r w:rsidRPr="00C41844">
        <w:rPr>
          <w:rFonts w:ascii="Garamond" w:hAnsi="Garamond"/>
          <w:bCs/>
          <w:sz w:val="24"/>
          <w:szCs w:val="24"/>
        </w:rPr>
        <w:t>-</w:t>
      </w:r>
      <w:r w:rsidR="00A60F46" w:rsidRPr="00C41844">
        <w:rPr>
          <w:rFonts w:ascii="Garamond" w:hAnsi="Garamond"/>
          <w:bCs/>
          <w:sz w:val="24"/>
          <w:szCs w:val="24"/>
        </w:rPr>
        <w:t>C</w:t>
      </w:r>
      <w:r w:rsidRPr="00C41844">
        <w:rPr>
          <w:rFonts w:ascii="Garamond" w:hAnsi="Garamond"/>
          <w:bCs/>
          <w:sz w:val="24"/>
          <w:szCs w:val="24"/>
        </w:rPr>
        <w:t xml:space="preserve">/2020, de </w:t>
      </w:r>
      <w:r w:rsidR="00A60F46" w:rsidRPr="00C41844">
        <w:rPr>
          <w:rFonts w:ascii="Garamond" w:hAnsi="Garamond"/>
          <w:bCs/>
          <w:sz w:val="24"/>
          <w:szCs w:val="24"/>
        </w:rPr>
        <w:t xml:space="preserve">6 </w:t>
      </w:r>
      <w:r w:rsidRPr="00C41844">
        <w:rPr>
          <w:rFonts w:ascii="Garamond" w:hAnsi="Garamond"/>
          <w:bCs/>
          <w:sz w:val="24"/>
          <w:szCs w:val="24"/>
        </w:rPr>
        <w:t xml:space="preserve">de </w:t>
      </w:r>
      <w:r w:rsidR="00A60F46" w:rsidRPr="00C41844">
        <w:rPr>
          <w:rFonts w:ascii="Garamond" w:hAnsi="Garamond"/>
          <w:bCs/>
          <w:sz w:val="24"/>
          <w:szCs w:val="24"/>
        </w:rPr>
        <w:t>abril</w:t>
      </w:r>
      <w:r w:rsidRPr="00C41844">
        <w:rPr>
          <w:rFonts w:ascii="Garamond" w:hAnsi="Garamond"/>
          <w:bCs/>
          <w:sz w:val="24"/>
          <w:szCs w:val="24"/>
        </w:rPr>
        <w:t>, passa a ter a seguinte redação:</w:t>
      </w:r>
    </w:p>
    <w:p w14:paraId="3BB09B0F" w14:textId="77777777" w:rsidR="002815A0" w:rsidRPr="00C41844" w:rsidRDefault="00E36A23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«</w:t>
      </w:r>
      <w:bookmarkStart w:id="6" w:name="_Hlk38802103"/>
      <w:r w:rsidR="002815A0" w:rsidRPr="00C41844">
        <w:rPr>
          <w:rFonts w:ascii="Garamond" w:hAnsi="Garamond"/>
          <w:bCs/>
          <w:sz w:val="24"/>
          <w:szCs w:val="24"/>
        </w:rPr>
        <w:t>Artigo 7.º</w:t>
      </w:r>
    </w:p>
    <w:p w14:paraId="01396D16" w14:textId="77777777" w:rsidR="002815A0" w:rsidRPr="00C41844" w:rsidRDefault="002815A0" w:rsidP="002815A0">
      <w:pPr>
        <w:pStyle w:val="PargrafodaLista"/>
        <w:widowControl w:val="0"/>
        <w:spacing w:after="120" w:line="360" w:lineRule="auto"/>
        <w:ind w:left="0"/>
        <w:contextualSpacing w:val="0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</w:p>
    <w:p w14:paraId="131AA848" w14:textId="1605D84A" w:rsidR="002815A0" w:rsidRDefault="00394AB8" w:rsidP="00D6068E">
      <w:pPr>
        <w:widowControl w:val="0"/>
        <w:spacing w:after="120" w:line="360" w:lineRule="auto"/>
        <w:ind w:firstLine="567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  <w:r w:rsidR="002815A0" w:rsidRPr="00C41844">
        <w:rPr>
          <w:rFonts w:ascii="Garamond" w:hAnsi="Garamond"/>
          <w:bCs/>
          <w:sz w:val="24"/>
          <w:szCs w:val="24"/>
        </w:rPr>
        <w:t>:</w:t>
      </w:r>
    </w:p>
    <w:p w14:paraId="00B689FC" w14:textId="7B444E91" w:rsidR="002815A0" w:rsidRPr="00C41844" w:rsidRDefault="002815A0" w:rsidP="004E5759">
      <w:pPr>
        <w:widowControl w:val="0"/>
        <w:numPr>
          <w:ilvl w:val="0"/>
          <w:numId w:val="4"/>
        </w:numPr>
        <w:spacing w:after="120" w:line="360" w:lineRule="auto"/>
        <w:ind w:left="1418" w:right="566" w:hanging="284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Aos estabelecimentos abertos ao público destinados a atividades de comércio a retalho e de prestação de serviços encerrados ou que tenham as respetivas atividades suspensas ao abrigo do Decreto n.º</w:t>
      </w:r>
      <w:r w:rsidR="0068357D" w:rsidRPr="00C41844">
        <w:rPr>
          <w:rFonts w:ascii="Garamond" w:hAnsi="Garamond"/>
          <w:bCs/>
          <w:sz w:val="24"/>
          <w:szCs w:val="24"/>
        </w:rPr>
        <w:t> </w:t>
      </w:r>
      <w:r w:rsidRPr="00C41844">
        <w:rPr>
          <w:rFonts w:ascii="Garamond" w:hAnsi="Garamond"/>
          <w:bCs/>
          <w:sz w:val="24"/>
          <w:szCs w:val="24"/>
        </w:rPr>
        <w:t>2</w:t>
      </w:r>
      <w:r w:rsidR="0068357D" w:rsidRPr="00C41844">
        <w:rPr>
          <w:rFonts w:ascii="Garamond" w:hAnsi="Garamond"/>
          <w:bCs/>
          <w:sz w:val="24"/>
          <w:szCs w:val="24"/>
        </w:rPr>
        <w:noBreakHyphen/>
      </w:r>
      <w:r w:rsidRPr="00C41844">
        <w:rPr>
          <w:rFonts w:ascii="Garamond" w:hAnsi="Garamond"/>
          <w:bCs/>
          <w:sz w:val="24"/>
          <w:szCs w:val="24"/>
        </w:rPr>
        <w:t xml:space="preserve">A/2020, de 20 de março, ou por determinação legislativa ou administrativa, nos termos previstos no Decreto-Lei n.º 10-A/2020, de 13 de março, na sua redação atual, ou ao abrigo da Lei de Bases da </w:t>
      </w:r>
      <w:r w:rsidRPr="00C41844">
        <w:rPr>
          <w:rFonts w:ascii="Garamond" w:hAnsi="Garamond"/>
          <w:bCs/>
          <w:sz w:val="24"/>
          <w:szCs w:val="24"/>
        </w:rPr>
        <w:lastRenderedPageBreak/>
        <w:t>Proteção Civil, aprovada pela Lei n.º 27/2006, de 3 de julho, na sua redação atual, da Lei de Bases da Saúde, aprovada pela Lei n.º</w:t>
      </w:r>
      <w:r w:rsidR="0068357D" w:rsidRPr="00C41844">
        <w:rPr>
          <w:rFonts w:ascii="Garamond" w:hAnsi="Garamond"/>
          <w:bCs/>
          <w:sz w:val="24"/>
          <w:szCs w:val="24"/>
        </w:rPr>
        <w:t> </w:t>
      </w:r>
      <w:r w:rsidRPr="00C41844">
        <w:rPr>
          <w:rFonts w:ascii="Garamond" w:hAnsi="Garamond"/>
          <w:bCs/>
          <w:sz w:val="24"/>
          <w:szCs w:val="24"/>
        </w:rPr>
        <w:t xml:space="preserve">95/2019, de 4 de setembro,  ou de outras disposições destinadas à execução do estado de emergência, bem como, após a sua cessação, ao abrigo de disposição legal ou medida administrativa aprovada no âmbito da pandemia </w:t>
      </w:r>
      <w:r w:rsidR="00521964" w:rsidRPr="00C41844">
        <w:rPr>
          <w:rFonts w:ascii="Garamond" w:hAnsi="Garamond"/>
          <w:bCs/>
          <w:sz w:val="24"/>
          <w:szCs w:val="24"/>
        </w:rPr>
        <w:t>da</w:t>
      </w:r>
      <w:r w:rsidRPr="00C41844">
        <w:rPr>
          <w:rFonts w:ascii="Garamond" w:hAnsi="Garamond"/>
          <w:bCs/>
          <w:sz w:val="24"/>
          <w:szCs w:val="24"/>
        </w:rPr>
        <w:t xml:space="preserve"> doença COVID-19 que determine o encerramento de instalações ou suspensão de atividades,  incluindo nos casos em que estes mantenham a prestação de atividades de comércio eletrónico, ou de prestação de serviços à distância ou através de plataforma eletrónica;</w:t>
      </w:r>
    </w:p>
    <w:p w14:paraId="75D82D85" w14:textId="77777777" w:rsidR="002815A0" w:rsidRPr="00C41844" w:rsidRDefault="002815A0" w:rsidP="004E5759">
      <w:pPr>
        <w:widowControl w:val="0"/>
        <w:numPr>
          <w:ilvl w:val="0"/>
          <w:numId w:val="4"/>
        </w:numPr>
        <w:spacing w:after="120" w:line="360" w:lineRule="auto"/>
        <w:ind w:left="1560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Aos estabelecimentos de restauração e similares, encerrados nos termos das disposições anteriores, incluindo nos casos em que estes mantenham atividade para efeitos exclusivos de confeção destinada a consumo fora do estabelecimento ou entrega no domicílio, nos termos previstos no Decreto n.º 2-A/2020, de 20 de março, ou em qualquer outra disposição que o permita.</w:t>
      </w:r>
    </w:p>
    <w:p w14:paraId="01574CE2" w14:textId="77777777" w:rsidR="002815A0" w:rsidRPr="00C41844" w:rsidRDefault="002815A0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Artigo 8.º</w:t>
      </w:r>
    </w:p>
    <w:p w14:paraId="0D2D1D3F" w14:textId="77777777" w:rsidR="002815A0" w:rsidRPr="00C41844" w:rsidRDefault="002815A0" w:rsidP="002815A0">
      <w:pPr>
        <w:pStyle w:val="PargrafodaLista"/>
        <w:widowControl w:val="0"/>
        <w:spacing w:after="120" w:line="360" w:lineRule="auto"/>
        <w:ind w:left="0"/>
        <w:contextualSpacing w:val="0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</w:p>
    <w:p w14:paraId="16C7B4A2" w14:textId="1D9B62CD" w:rsidR="002815A0" w:rsidRDefault="00A42FB1" w:rsidP="004E5759">
      <w:pPr>
        <w:widowControl w:val="0"/>
        <w:numPr>
          <w:ilvl w:val="0"/>
          <w:numId w:val="2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</w:t>
      </w:r>
      <w:r w:rsidRPr="00C41844">
        <w:rPr>
          <w:rFonts w:ascii="Garamond" w:hAnsi="Garamond"/>
          <w:bCs/>
          <w:i/>
          <w:iCs/>
          <w:sz w:val="24"/>
          <w:szCs w:val="24"/>
        </w:rPr>
        <w:t>Anterior corpo do artigo</w:t>
      </w:r>
      <w:r w:rsidRPr="00C41844">
        <w:rPr>
          <w:rFonts w:ascii="Garamond" w:hAnsi="Garamond"/>
          <w:bCs/>
          <w:sz w:val="24"/>
          <w:szCs w:val="24"/>
        </w:rPr>
        <w:t>]</w:t>
      </w:r>
      <w:r w:rsidR="002815A0" w:rsidRPr="00C41844">
        <w:rPr>
          <w:rFonts w:ascii="Garamond" w:hAnsi="Garamond"/>
          <w:bCs/>
          <w:sz w:val="24"/>
          <w:szCs w:val="24"/>
        </w:rPr>
        <w:t>.</w:t>
      </w:r>
    </w:p>
    <w:p w14:paraId="0669796B" w14:textId="39881255" w:rsidR="002815A0" w:rsidRPr="00C41844" w:rsidRDefault="007F162A" w:rsidP="004E5759">
      <w:pPr>
        <w:widowControl w:val="0"/>
        <w:numPr>
          <w:ilvl w:val="0"/>
          <w:numId w:val="2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</w:t>
      </w:r>
      <w:r w:rsidR="00E63CA2" w:rsidRPr="00C41844">
        <w:rPr>
          <w:rFonts w:ascii="Garamond" w:hAnsi="Garamond"/>
          <w:bCs/>
          <w:sz w:val="24"/>
          <w:szCs w:val="24"/>
        </w:rPr>
        <w:t>té 1 de setembro de 2020</w:t>
      </w:r>
      <w:r w:rsidR="002815A0" w:rsidRPr="00C41844">
        <w:rPr>
          <w:rFonts w:ascii="Garamond" w:hAnsi="Garamond"/>
          <w:bCs/>
          <w:sz w:val="24"/>
          <w:szCs w:val="24"/>
        </w:rPr>
        <w:t>, o arrendatário que preencha o disposto no artigo anterior pode igualmente diferir o pagamento das rendas vencidas</w:t>
      </w:r>
      <w:r w:rsidR="0073138D" w:rsidRPr="00C41844">
        <w:rPr>
          <w:rFonts w:ascii="Garamond" w:hAnsi="Garamond"/>
          <w:bCs/>
          <w:sz w:val="24"/>
          <w:szCs w:val="24"/>
        </w:rPr>
        <w:t xml:space="preserve">, </w:t>
      </w:r>
      <w:r w:rsidRPr="00C41844">
        <w:rPr>
          <w:rFonts w:ascii="Garamond" w:hAnsi="Garamond"/>
          <w:bCs/>
          <w:sz w:val="24"/>
          <w:szCs w:val="24"/>
        </w:rPr>
        <w:t>pelos meses em que</w:t>
      </w:r>
      <w:r w:rsidR="0073138D" w:rsidRPr="00C41844">
        <w:rPr>
          <w:rFonts w:ascii="Garamond" w:hAnsi="Garamond"/>
          <w:bCs/>
          <w:sz w:val="24"/>
          <w:szCs w:val="24"/>
        </w:rPr>
        <w:t xml:space="preserve"> </w:t>
      </w:r>
      <w:r w:rsidR="002815A0" w:rsidRPr="00C41844">
        <w:rPr>
          <w:rFonts w:ascii="Garamond" w:hAnsi="Garamond"/>
          <w:bCs/>
          <w:sz w:val="24"/>
          <w:szCs w:val="24"/>
        </w:rPr>
        <w:t xml:space="preserve">ao abrigo de disposição legal ou medida administrativa aprovada no âmbito da pandemia </w:t>
      </w:r>
      <w:r w:rsidR="00521964" w:rsidRPr="00C41844">
        <w:rPr>
          <w:rFonts w:ascii="Garamond" w:hAnsi="Garamond"/>
          <w:bCs/>
          <w:sz w:val="24"/>
          <w:szCs w:val="24"/>
        </w:rPr>
        <w:t>da</w:t>
      </w:r>
      <w:r w:rsidR="002815A0" w:rsidRPr="00C41844">
        <w:rPr>
          <w:rFonts w:ascii="Garamond" w:hAnsi="Garamond"/>
          <w:bCs/>
          <w:sz w:val="24"/>
          <w:szCs w:val="24"/>
        </w:rPr>
        <w:t xml:space="preserve"> doença COVID-19 seja determinado o encerramento de instalações ou suspensão de atividades </w:t>
      </w:r>
      <w:r w:rsidR="0073138D" w:rsidRPr="00C41844">
        <w:rPr>
          <w:rFonts w:ascii="Garamond" w:hAnsi="Garamond"/>
          <w:bCs/>
          <w:sz w:val="24"/>
          <w:szCs w:val="24"/>
        </w:rPr>
        <w:t xml:space="preserve">ou </w:t>
      </w:r>
      <w:r w:rsidRPr="00C41844">
        <w:rPr>
          <w:rFonts w:ascii="Garamond" w:hAnsi="Garamond"/>
          <w:bCs/>
          <w:sz w:val="24"/>
          <w:szCs w:val="24"/>
        </w:rPr>
        <w:t>n</w:t>
      </w:r>
      <w:r w:rsidR="0073138D" w:rsidRPr="00C41844">
        <w:rPr>
          <w:rFonts w:ascii="Garamond" w:hAnsi="Garamond"/>
          <w:bCs/>
          <w:sz w:val="24"/>
          <w:szCs w:val="24"/>
        </w:rPr>
        <w:t xml:space="preserve">o </w:t>
      </w:r>
      <w:r w:rsidR="002815A0" w:rsidRPr="00C41844">
        <w:rPr>
          <w:rFonts w:ascii="Garamond" w:hAnsi="Garamond"/>
          <w:bCs/>
          <w:sz w:val="24"/>
          <w:szCs w:val="24"/>
        </w:rPr>
        <w:t>primeiro mês subsequente</w:t>
      </w:r>
      <w:r w:rsidRPr="00C41844">
        <w:rPr>
          <w:rFonts w:ascii="Garamond" w:hAnsi="Garamond"/>
          <w:bCs/>
          <w:sz w:val="24"/>
          <w:szCs w:val="24"/>
        </w:rPr>
        <w:t xml:space="preserve"> desde que compreendido no referido período</w:t>
      </w:r>
      <w:r w:rsidR="002815A0" w:rsidRPr="00C41844">
        <w:rPr>
          <w:rFonts w:ascii="Garamond" w:hAnsi="Garamond"/>
          <w:bCs/>
          <w:sz w:val="24"/>
          <w:szCs w:val="24"/>
        </w:rPr>
        <w:t xml:space="preserve">, </w:t>
      </w:r>
      <w:r w:rsidR="007525E9" w:rsidRPr="00C41844">
        <w:rPr>
          <w:rFonts w:ascii="Garamond" w:hAnsi="Garamond"/>
          <w:bCs/>
          <w:sz w:val="24"/>
          <w:szCs w:val="24"/>
        </w:rPr>
        <w:t>aplicando-se o disposto no</w:t>
      </w:r>
      <w:r w:rsidR="00EC1463" w:rsidRPr="00C41844">
        <w:rPr>
          <w:rFonts w:ascii="Garamond" w:hAnsi="Garamond"/>
          <w:bCs/>
          <w:sz w:val="24"/>
          <w:szCs w:val="24"/>
        </w:rPr>
        <w:t>s</w:t>
      </w:r>
      <w:r w:rsidR="007525E9" w:rsidRPr="00C41844">
        <w:rPr>
          <w:rFonts w:ascii="Garamond" w:hAnsi="Garamond"/>
          <w:bCs/>
          <w:sz w:val="24"/>
          <w:szCs w:val="24"/>
        </w:rPr>
        <w:t xml:space="preserve"> n.ºs. 4 e 5</w:t>
      </w:r>
      <w:r w:rsidR="006C2E8A" w:rsidRPr="00C41844">
        <w:rPr>
          <w:rFonts w:ascii="Garamond" w:hAnsi="Garamond"/>
          <w:bCs/>
          <w:sz w:val="24"/>
          <w:szCs w:val="24"/>
        </w:rPr>
        <w:t>.</w:t>
      </w:r>
      <w:r w:rsidR="002577A2" w:rsidRPr="00C41844">
        <w:rPr>
          <w:rFonts w:ascii="Garamond" w:hAnsi="Garamond"/>
          <w:bCs/>
          <w:sz w:val="24"/>
          <w:szCs w:val="24"/>
        </w:rPr>
        <w:t xml:space="preserve"> </w:t>
      </w:r>
    </w:p>
    <w:p w14:paraId="71EE3D21" w14:textId="14008652" w:rsidR="002815A0" w:rsidRPr="00C41844" w:rsidRDefault="002815A0" w:rsidP="004E5759">
      <w:pPr>
        <w:widowControl w:val="0"/>
        <w:numPr>
          <w:ilvl w:val="0"/>
          <w:numId w:val="2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 xml:space="preserve">No caso de arrendatários </w:t>
      </w:r>
      <w:r w:rsidR="00A454D8" w:rsidRPr="00C41844">
        <w:rPr>
          <w:rFonts w:ascii="Garamond" w:hAnsi="Garamond"/>
          <w:bCs/>
          <w:sz w:val="24"/>
          <w:szCs w:val="24"/>
        </w:rPr>
        <w:t xml:space="preserve">abrangidos pelo disposto nos </w:t>
      </w:r>
      <w:r w:rsidR="00321FE5" w:rsidRPr="00C41844">
        <w:rPr>
          <w:rFonts w:ascii="Garamond" w:hAnsi="Garamond"/>
          <w:bCs/>
          <w:sz w:val="24"/>
          <w:szCs w:val="24"/>
        </w:rPr>
        <w:t>números anteriores</w:t>
      </w:r>
      <w:r w:rsidRPr="00C41844">
        <w:rPr>
          <w:rFonts w:ascii="Garamond" w:hAnsi="Garamond"/>
          <w:bCs/>
          <w:sz w:val="24"/>
          <w:szCs w:val="24"/>
        </w:rPr>
        <w:t xml:space="preserve">, </w:t>
      </w:r>
      <w:r w:rsidRPr="00C41844">
        <w:rPr>
          <w:rFonts w:ascii="Garamond" w:hAnsi="Garamond"/>
          <w:bCs/>
          <w:sz w:val="24"/>
          <w:szCs w:val="24"/>
        </w:rPr>
        <w:lastRenderedPageBreak/>
        <w:t xml:space="preserve">o período </w:t>
      </w:r>
      <w:r w:rsidR="006C2E8A" w:rsidRPr="00C41844">
        <w:rPr>
          <w:rFonts w:ascii="Garamond" w:hAnsi="Garamond"/>
          <w:bCs/>
          <w:sz w:val="24"/>
          <w:szCs w:val="24"/>
        </w:rPr>
        <w:t xml:space="preserve">de regularização da dívida </w:t>
      </w:r>
      <w:r w:rsidRPr="00C41844">
        <w:rPr>
          <w:rFonts w:ascii="Garamond" w:hAnsi="Garamond"/>
          <w:bCs/>
          <w:sz w:val="24"/>
          <w:szCs w:val="24"/>
        </w:rPr>
        <w:t>só tem início</w:t>
      </w:r>
      <w:r w:rsidR="002453B1" w:rsidRPr="00C41844">
        <w:rPr>
          <w:rFonts w:ascii="Garamond" w:hAnsi="Garamond"/>
          <w:bCs/>
          <w:sz w:val="24"/>
          <w:szCs w:val="24"/>
        </w:rPr>
        <w:t xml:space="preserve"> a 1 de setembro de 2020 ou</w:t>
      </w:r>
      <w:r w:rsidRPr="00C41844">
        <w:rPr>
          <w:rFonts w:ascii="Garamond" w:hAnsi="Garamond"/>
          <w:bCs/>
          <w:sz w:val="24"/>
          <w:szCs w:val="24"/>
        </w:rPr>
        <w:t xml:space="preserve"> após o término do mês subsequente àquele em que cessar o impedimento</w:t>
      </w:r>
      <w:r w:rsidR="006C2E8A" w:rsidRPr="00C41844">
        <w:rPr>
          <w:rFonts w:ascii="Garamond" w:hAnsi="Garamond"/>
          <w:bCs/>
          <w:sz w:val="24"/>
          <w:szCs w:val="24"/>
        </w:rPr>
        <w:t xml:space="preserve"> </w:t>
      </w:r>
      <w:r w:rsidR="002453B1" w:rsidRPr="00C41844">
        <w:rPr>
          <w:rFonts w:ascii="Garamond" w:hAnsi="Garamond"/>
          <w:bCs/>
          <w:sz w:val="24"/>
          <w:szCs w:val="24"/>
        </w:rPr>
        <w:t>se anterior a esta data</w:t>
      </w:r>
      <w:r w:rsidR="00A04E9A" w:rsidRPr="00C41844">
        <w:rPr>
          <w:rFonts w:ascii="Garamond" w:hAnsi="Garamond"/>
          <w:bCs/>
          <w:sz w:val="24"/>
          <w:szCs w:val="24"/>
        </w:rPr>
        <w:t>.</w:t>
      </w:r>
    </w:p>
    <w:p w14:paraId="5BAC0383" w14:textId="77777777" w:rsidR="007525E9" w:rsidRPr="00C41844" w:rsidRDefault="00A04E9A" w:rsidP="004E5759">
      <w:pPr>
        <w:widowControl w:val="0"/>
        <w:numPr>
          <w:ilvl w:val="0"/>
          <w:numId w:val="2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Do exposto nos números anteriores não pode</w:t>
      </w:r>
      <w:r w:rsidR="00406BE8" w:rsidRPr="00C41844">
        <w:rPr>
          <w:rFonts w:ascii="Garamond" w:hAnsi="Garamond"/>
          <w:bCs/>
          <w:sz w:val="24"/>
          <w:szCs w:val="24"/>
        </w:rPr>
        <w:t>, contudo,</w:t>
      </w:r>
      <w:r w:rsidR="007525E9" w:rsidRPr="00C41844">
        <w:rPr>
          <w:rFonts w:ascii="Garamond" w:hAnsi="Garamond"/>
          <w:bCs/>
          <w:sz w:val="24"/>
          <w:szCs w:val="24"/>
        </w:rPr>
        <w:t xml:space="preserve"> </w:t>
      </w:r>
      <w:r w:rsidRPr="00C41844">
        <w:rPr>
          <w:rFonts w:ascii="Garamond" w:hAnsi="Garamond"/>
          <w:bCs/>
          <w:sz w:val="24"/>
          <w:szCs w:val="24"/>
        </w:rPr>
        <w:t xml:space="preserve">resultar um período de regularização da dívida que ultrapasse </w:t>
      </w:r>
      <w:r w:rsidR="007525E9" w:rsidRPr="00C41844">
        <w:rPr>
          <w:rFonts w:ascii="Garamond" w:hAnsi="Garamond"/>
          <w:bCs/>
          <w:sz w:val="24"/>
          <w:szCs w:val="24"/>
        </w:rPr>
        <w:t xml:space="preserve">o mês de </w:t>
      </w:r>
      <w:r w:rsidRPr="00C41844">
        <w:rPr>
          <w:rFonts w:ascii="Garamond" w:hAnsi="Garamond"/>
          <w:bCs/>
          <w:sz w:val="24"/>
          <w:szCs w:val="24"/>
        </w:rPr>
        <w:t>junho de 2021</w:t>
      </w:r>
      <w:r w:rsidR="007525E9" w:rsidRPr="00C41844">
        <w:rPr>
          <w:rFonts w:ascii="Garamond" w:hAnsi="Garamond"/>
          <w:bCs/>
          <w:sz w:val="24"/>
          <w:szCs w:val="24"/>
        </w:rPr>
        <w:t>.</w:t>
      </w:r>
    </w:p>
    <w:p w14:paraId="710FA169" w14:textId="77777777" w:rsidR="00A04E9A" w:rsidRPr="00C41844" w:rsidRDefault="004B0B05" w:rsidP="004E5759">
      <w:pPr>
        <w:widowControl w:val="0"/>
        <w:numPr>
          <w:ilvl w:val="0"/>
          <w:numId w:val="2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As</w:t>
      </w:r>
      <w:r w:rsidR="007525E9" w:rsidRPr="00C41844">
        <w:rPr>
          <w:rFonts w:ascii="Garamond" w:hAnsi="Garamond"/>
          <w:bCs/>
          <w:sz w:val="24"/>
          <w:szCs w:val="24"/>
        </w:rPr>
        <w:t xml:space="preserve"> rendas vencidas e cujo pagamento foi diferido ao abrigo do presente regime devem ser </w:t>
      </w:r>
      <w:r w:rsidR="00311144" w:rsidRPr="00C41844">
        <w:rPr>
          <w:rFonts w:ascii="Garamond" w:hAnsi="Garamond"/>
          <w:bCs/>
          <w:sz w:val="24"/>
          <w:szCs w:val="24"/>
        </w:rPr>
        <w:t>satisfeitas</w:t>
      </w:r>
      <w:r w:rsidR="007525E9" w:rsidRPr="00C41844">
        <w:rPr>
          <w:rFonts w:ascii="Garamond" w:hAnsi="Garamond"/>
          <w:bCs/>
          <w:sz w:val="24"/>
          <w:szCs w:val="24"/>
        </w:rPr>
        <w:t xml:space="preserve"> em</w:t>
      </w:r>
      <w:r w:rsidR="00F65FB6" w:rsidRPr="00C41844">
        <w:rPr>
          <w:rFonts w:ascii="Garamond" w:hAnsi="Garamond"/>
          <w:bCs/>
          <w:sz w:val="24"/>
          <w:szCs w:val="24"/>
        </w:rPr>
        <w:t xml:space="preserve"> prestações mensais </w:t>
      </w:r>
      <w:r w:rsidR="007525E9" w:rsidRPr="00C41844">
        <w:rPr>
          <w:rFonts w:ascii="Garamond" w:hAnsi="Garamond"/>
          <w:bCs/>
          <w:sz w:val="24"/>
          <w:szCs w:val="24"/>
        </w:rPr>
        <w:t>não inferiores ao</w:t>
      </w:r>
      <w:r w:rsidR="00F65FB6" w:rsidRPr="00C41844">
        <w:rPr>
          <w:rFonts w:ascii="Garamond" w:hAnsi="Garamond"/>
          <w:bCs/>
          <w:sz w:val="24"/>
          <w:szCs w:val="24"/>
        </w:rPr>
        <w:t xml:space="preserve"> </w:t>
      </w:r>
      <w:r w:rsidR="007525E9" w:rsidRPr="00C41844">
        <w:rPr>
          <w:rFonts w:ascii="Garamond" w:hAnsi="Garamond"/>
          <w:bCs/>
          <w:sz w:val="24"/>
          <w:szCs w:val="24"/>
        </w:rPr>
        <w:t xml:space="preserve">valor </w:t>
      </w:r>
      <w:r w:rsidR="00F65FB6" w:rsidRPr="00C41844">
        <w:rPr>
          <w:rFonts w:ascii="Garamond" w:hAnsi="Garamond"/>
          <w:bCs/>
          <w:sz w:val="24"/>
          <w:szCs w:val="24"/>
        </w:rPr>
        <w:t>resultante do rateio do montante total em dívida pelo número de meses em que esta dev</w:t>
      </w:r>
      <w:r w:rsidR="002453B1" w:rsidRPr="00C41844">
        <w:rPr>
          <w:rFonts w:ascii="Garamond" w:hAnsi="Garamond"/>
          <w:bCs/>
          <w:sz w:val="24"/>
          <w:szCs w:val="24"/>
        </w:rPr>
        <w:t>a</w:t>
      </w:r>
      <w:r w:rsidR="00F65FB6" w:rsidRPr="00C41844">
        <w:rPr>
          <w:rFonts w:ascii="Garamond" w:hAnsi="Garamond"/>
          <w:bCs/>
          <w:sz w:val="24"/>
          <w:szCs w:val="24"/>
        </w:rPr>
        <w:t xml:space="preserve"> ser regularizada</w:t>
      </w:r>
      <w:r w:rsidR="00311144" w:rsidRPr="00C41844">
        <w:rPr>
          <w:rFonts w:ascii="Garamond" w:hAnsi="Garamond"/>
          <w:bCs/>
          <w:sz w:val="24"/>
          <w:szCs w:val="24"/>
        </w:rPr>
        <w:t>, pagas juntamente com a renda do mês em causa.</w:t>
      </w:r>
    </w:p>
    <w:p w14:paraId="7FB03DC4" w14:textId="4A00E5C5" w:rsidR="002815A0" w:rsidRPr="00C41844" w:rsidRDefault="002815A0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Artigo 9.º</w:t>
      </w:r>
    </w:p>
    <w:p w14:paraId="273E7586" w14:textId="77777777" w:rsidR="002815A0" w:rsidRPr="00C41844" w:rsidRDefault="002815A0" w:rsidP="002815A0">
      <w:pPr>
        <w:pStyle w:val="PargrafodaLista"/>
        <w:widowControl w:val="0"/>
        <w:spacing w:after="120" w:line="360" w:lineRule="auto"/>
        <w:ind w:left="0"/>
        <w:contextualSpacing w:val="0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</w:p>
    <w:p w14:paraId="222F701F" w14:textId="39A2FD4B" w:rsidR="002815A0" w:rsidRPr="00C41844" w:rsidRDefault="002815A0" w:rsidP="004E5759">
      <w:pPr>
        <w:widowControl w:val="0"/>
        <w:numPr>
          <w:ilvl w:val="0"/>
          <w:numId w:val="5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 xml:space="preserve">A falta de pagamento das rendas que se vençam nos meses em que vigore o estado de emergência e no primeiro mês subsequente, bem como, no caso de estabelecimentos e instalações que permaneçam encerrados ao abrigo de disposição legal ou medida administrativa aprovada no âmbito da pandemia </w:t>
      </w:r>
      <w:r w:rsidR="00EA6FAA" w:rsidRPr="00C41844">
        <w:rPr>
          <w:rFonts w:ascii="Garamond" w:hAnsi="Garamond"/>
          <w:bCs/>
          <w:sz w:val="24"/>
          <w:szCs w:val="24"/>
        </w:rPr>
        <w:t>da</w:t>
      </w:r>
      <w:r w:rsidRPr="00C41844">
        <w:rPr>
          <w:rFonts w:ascii="Garamond" w:hAnsi="Garamond"/>
          <w:bCs/>
          <w:sz w:val="24"/>
          <w:szCs w:val="24"/>
        </w:rPr>
        <w:t xml:space="preserve"> doença COVID-19 que determine o encerramento de instalações ou suspensão de atividades, pelos meses em que esta vigorar e no mês subsequente</w:t>
      </w:r>
      <w:r w:rsidR="00A04E9A" w:rsidRPr="00C41844">
        <w:rPr>
          <w:rFonts w:ascii="Garamond" w:hAnsi="Garamond"/>
          <w:bCs/>
          <w:sz w:val="24"/>
          <w:szCs w:val="24"/>
        </w:rPr>
        <w:t>, pelo período compreendido até 1 de setembro</w:t>
      </w:r>
      <w:r w:rsidR="006A4F0F" w:rsidRPr="00C41844">
        <w:rPr>
          <w:rFonts w:ascii="Garamond" w:hAnsi="Garamond"/>
          <w:bCs/>
          <w:sz w:val="24"/>
          <w:szCs w:val="24"/>
        </w:rPr>
        <w:t xml:space="preserve"> de 2020</w:t>
      </w:r>
      <w:r w:rsidRPr="00C41844">
        <w:rPr>
          <w:rFonts w:ascii="Garamond" w:hAnsi="Garamond"/>
          <w:bCs/>
          <w:sz w:val="24"/>
          <w:szCs w:val="24"/>
        </w:rPr>
        <w:t>, nos termos do artigo anterior, não pode ser invocada como fundamento de resolução, denúncia ou outra forma de extinção de contratos, nem como fundamento de obrigação de desocupação de imóveis.</w:t>
      </w:r>
    </w:p>
    <w:p w14:paraId="10ED11F5" w14:textId="77777777" w:rsidR="002815A0" w:rsidRPr="00C41844" w:rsidRDefault="0061088B" w:rsidP="004E5759">
      <w:pPr>
        <w:widowControl w:val="0"/>
        <w:numPr>
          <w:ilvl w:val="0"/>
          <w:numId w:val="5"/>
        </w:numPr>
        <w:spacing w:after="120" w:line="360" w:lineRule="auto"/>
        <w:ind w:left="993" w:right="566" w:hanging="426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  <w:r w:rsidR="002815A0" w:rsidRPr="00C41844">
        <w:rPr>
          <w:rFonts w:ascii="Garamond" w:hAnsi="Garamond"/>
          <w:bCs/>
          <w:sz w:val="24"/>
          <w:szCs w:val="24"/>
        </w:rPr>
        <w:t>.</w:t>
      </w:r>
    </w:p>
    <w:p w14:paraId="12E17FD5" w14:textId="77777777" w:rsidR="00C41844" w:rsidRDefault="00C41844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36C2A8C9" w14:textId="77777777" w:rsidR="00C41844" w:rsidRDefault="00C41844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6F94F48" w14:textId="77777777" w:rsidR="00C41844" w:rsidRDefault="00C41844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513BD2D2" w14:textId="64D1FD8F" w:rsidR="002815A0" w:rsidRPr="00C41844" w:rsidRDefault="002815A0" w:rsidP="002815A0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Artigo 12.º</w:t>
      </w:r>
    </w:p>
    <w:p w14:paraId="7F13983A" w14:textId="77777777" w:rsidR="002815A0" w:rsidRPr="00C41844" w:rsidRDefault="002815A0" w:rsidP="002815A0">
      <w:pPr>
        <w:pStyle w:val="PargrafodaLista"/>
        <w:widowControl w:val="0"/>
        <w:spacing w:after="120" w:line="360" w:lineRule="auto"/>
        <w:ind w:left="0"/>
        <w:contextualSpacing w:val="0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</w:p>
    <w:p w14:paraId="2DC3F663" w14:textId="77777777" w:rsidR="002815A0" w:rsidRPr="00C41844" w:rsidRDefault="0061088B" w:rsidP="004E5759">
      <w:pPr>
        <w:pStyle w:val="PargrafodaLista"/>
        <w:widowControl w:val="0"/>
        <w:numPr>
          <w:ilvl w:val="0"/>
          <w:numId w:val="3"/>
        </w:numPr>
        <w:spacing w:after="120" w:line="360" w:lineRule="auto"/>
        <w:ind w:left="992" w:right="567" w:hanging="425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  <w:r w:rsidR="002815A0" w:rsidRPr="00C41844">
        <w:rPr>
          <w:rFonts w:ascii="Garamond" w:hAnsi="Garamond"/>
          <w:bCs/>
          <w:sz w:val="24"/>
          <w:szCs w:val="24"/>
        </w:rPr>
        <w:t>.</w:t>
      </w:r>
    </w:p>
    <w:p w14:paraId="79C7BE2C" w14:textId="1A24A590" w:rsidR="002815A0" w:rsidRPr="00C41844" w:rsidRDefault="002815A0" w:rsidP="004E5759">
      <w:pPr>
        <w:pStyle w:val="PargrafodaLista"/>
        <w:widowControl w:val="0"/>
        <w:numPr>
          <w:ilvl w:val="0"/>
          <w:numId w:val="3"/>
        </w:numPr>
        <w:spacing w:after="120" w:line="360" w:lineRule="auto"/>
        <w:ind w:left="992" w:right="567" w:hanging="425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</w:t>
      </w:r>
      <w:r w:rsidR="000A063F" w:rsidRPr="00C41844">
        <w:rPr>
          <w:rFonts w:ascii="Garamond" w:hAnsi="Garamond"/>
          <w:bCs/>
          <w:sz w:val="24"/>
          <w:szCs w:val="24"/>
        </w:rPr>
        <w:t xml:space="preserve"> </w:t>
      </w:r>
      <w:r w:rsidRPr="00C41844">
        <w:rPr>
          <w:rFonts w:ascii="Garamond" w:hAnsi="Garamond"/>
          <w:bCs/>
          <w:sz w:val="24"/>
          <w:szCs w:val="24"/>
        </w:rPr>
        <w:t>indemnização a que se refere o número anterior</w:t>
      </w:r>
      <w:r w:rsidR="000A063F" w:rsidRPr="00C41844">
        <w:rPr>
          <w:rFonts w:ascii="Garamond" w:hAnsi="Garamond"/>
          <w:bCs/>
          <w:sz w:val="24"/>
          <w:szCs w:val="24"/>
        </w:rPr>
        <w:t xml:space="preserve">, por atraso no pagamento de rendas que </w:t>
      </w:r>
      <w:r w:rsidR="007F162A" w:rsidRPr="00C41844">
        <w:rPr>
          <w:rFonts w:ascii="Garamond" w:hAnsi="Garamond"/>
          <w:bCs/>
          <w:sz w:val="24"/>
          <w:szCs w:val="24"/>
        </w:rPr>
        <w:t xml:space="preserve">se </w:t>
      </w:r>
      <w:r w:rsidR="000A063F" w:rsidRPr="00C41844">
        <w:rPr>
          <w:rFonts w:ascii="Garamond" w:hAnsi="Garamond"/>
          <w:bCs/>
          <w:sz w:val="24"/>
          <w:szCs w:val="24"/>
        </w:rPr>
        <w:t>vençam at</w:t>
      </w:r>
      <w:r w:rsidR="007F162A" w:rsidRPr="00C41844">
        <w:rPr>
          <w:rFonts w:ascii="Garamond" w:hAnsi="Garamond"/>
          <w:bCs/>
          <w:sz w:val="24"/>
          <w:szCs w:val="24"/>
        </w:rPr>
        <w:t>é</w:t>
      </w:r>
      <w:r w:rsidR="000A063F" w:rsidRPr="00C41844">
        <w:rPr>
          <w:rFonts w:ascii="Garamond" w:hAnsi="Garamond"/>
          <w:bCs/>
          <w:sz w:val="24"/>
          <w:szCs w:val="24"/>
        </w:rPr>
        <w:t xml:space="preserve"> 1 de setembro de 2020,</w:t>
      </w:r>
      <w:r w:rsidRPr="00C41844">
        <w:rPr>
          <w:rFonts w:ascii="Garamond" w:hAnsi="Garamond"/>
          <w:bCs/>
          <w:sz w:val="24"/>
          <w:szCs w:val="24"/>
        </w:rPr>
        <w:t xml:space="preserve"> não é exigível</w:t>
      </w:r>
      <w:r w:rsidR="00C11484" w:rsidRPr="00C41844">
        <w:rPr>
          <w:rFonts w:ascii="Garamond" w:hAnsi="Garamond"/>
          <w:bCs/>
          <w:sz w:val="24"/>
          <w:szCs w:val="24"/>
        </w:rPr>
        <w:t xml:space="preserve"> nos casos em que o seu pagamento possa ser diferido conforme o disposto no n.º 2 do artigo 8.º.</w:t>
      </w:r>
      <w:r w:rsidRPr="00C41844">
        <w:rPr>
          <w:rFonts w:ascii="Garamond" w:hAnsi="Garamond"/>
          <w:bCs/>
          <w:sz w:val="24"/>
          <w:szCs w:val="24"/>
        </w:rPr>
        <w:t xml:space="preserve"> </w:t>
      </w:r>
    </w:p>
    <w:p w14:paraId="7ED790EC" w14:textId="77777777" w:rsidR="002815A0" w:rsidRPr="00C41844" w:rsidRDefault="0061088B" w:rsidP="004E5759">
      <w:pPr>
        <w:pStyle w:val="PargrafodaLista"/>
        <w:widowControl w:val="0"/>
        <w:numPr>
          <w:ilvl w:val="0"/>
          <w:numId w:val="3"/>
        </w:numPr>
        <w:spacing w:after="120" w:line="360" w:lineRule="auto"/>
        <w:ind w:left="992" w:right="567" w:hanging="425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</w:t>
      </w:r>
      <w:r w:rsidRPr="00C41844">
        <w:rPr>
          <w:rFonts w:ascii="Garamond" w:hAnsi="Garamond"/>
          <w:bCs/>
          <w:i/>
          <w:iCs/>
          <w:sz w:val="24"/>
          <w:szCs w:val="24"/>
        </w:rPr>
        <w:t>Anterior n.º 2</w:t>
      </w:r>
      <w:r w:rsidRPr="00C41844">
        <w:rPr>
          <w:rFonts w:ascii="Garamond" w:hAnsi="Garamond"/>
          <w:bCs/>
          <w:sz w:val="24"/>
          <w:szCs w:val="24"/>
        </w:rPr>
        <w:t>.]</w:t>
      </w:r>
      <w:r w:rsidR="002815A0" w:rsidRPr="00C41844">
        <w:rPr>
          <w:rFonts w:ascii="Garamond" w:hAnsi="Garamond"/>
          <w:bCs/>
          <w:sz w:val="24"/>
          <w:szCs w:val="24"/>
        </w:rPr>
        <w:t>.</w:t>
      </w:r>
    </w:p>
    <w:p w14:paraId="2EDFA027" w14:textId="77777777" w:rsidR="001A3241" w:rsidRPr="00C41844" w:rsidRDefault="001A3241" w:rsidP="00F376FF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Artigo 14.º</w:t>
      </w:r>
    </w:p>
    <w:p w14:paraId="540FB9BB" w14:textId="77777777" w:rsidR="001A3241" w:rsidRPr="00C41844" w:rsidRDefault="00D54D8D" w:rsidP="00D6068E">
      <w:pPr>
        <w:pStyle w:val="PargrafodaLista"/>
        <w:widowControl w:val="0"/>
        <w:spacing w:after="120" w:line="360" w:lineRule="auto"/>
        <w:ind w:left="0"/>
        <w:contextualSpacing w:val="0"/>
        <w:jc w:val="center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[…]</w:t>
      </w:r>
    </w:p>
    <w:p w14:paraId="7A55124C" w14:textId="77777777" w:rsidR="00F22F7F" w:rsidRPr="00C41844" w:rsidRDefault="00A42FB1" w:rsidP="004E5759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[</w:t>
      </w:r>
      <w:r w:rsidRPr="00C41844">
        <w:rPr>
          <w:rFonts w:ascii="Garamond" w:hAnsi="Garamond"/>
          <w:bCs/>
          <w:i/>
          <w:iCs/>
          <w:sz w:val="24"/>
          <w:szCs w:val="24"/>
        </w:rPr>
        <w:t>Anterior corpo do artigo</w:t>
      </w:r>
      <w:r w:rsidRPr="00C41844">
        <w:rPr>
          <w:rFonts w:ascii="Garamond" w:hAnsi="Garamond"/>
          <w:bCs/>
          <w:sz w:val="24"/>
          <w:szCs w:val="24"/>
        </w:rPr>
        <w:t>].</w:t>
      </w:r>
    </w:p>
    <w:p w14:paraId="2CABE5DF" w14:textId="34F42A09" w:rsidR="001A3241" w:rsidRPr="00C41844" w:rsidRDefault="002815A0" w:rsidP="004E5759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993" w:right="56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>O disposto no</w:t>
      </w:r>
      <w:r w:rsidR="00D44C55" w:rsidRPr="00C41844">
        <w:rPr>
          <w:rFonts w:ascii="Garamond" w:hAnsi="Garamond"/>
          <w:bCs/>
          <w:sz w:val="24"/>
          <w:szCs w:val="24"/>
        </w:rPr>
        <w:t>s</w:t>
      </w:r>
      <w:r w:rsidRPr="00C41844">
        <w:rPr>
          <w:rFonts w:ascii="Garamond" w:hAnsi="Garamond"/>
          <w:bCs/>
          <w:sz w:val="24"/>
          <w:szCs w:val="24"/>
        </w:rPr>
        <w:t xml:space="preserve"> artigo</w:t>
      </w:r>
      <w:r w:rsidR="00D44C55" w:rsidRPr="00C41844">
        <w:rPr>
          <w:rFonts w:ascii="Garamond" w:hAnsi="Garamond"/>
          <w:bCs/>
          <w:sz w:val="24"/>
          <w:szCs w:val="24"/>
        </w:rPr>
        <w:t>s</w:t>
      </w:r>
      <w:r w:rsidRPr="00C41844">
        <w:rPr>
          <w:rFonts w:ascii="Garamond" w:hAnsi="Garamond"/>
          <w:bCs/>
          <w:sz w:val="24"/>
          <w:szCs w:val="24"/>
        </w:rPr>
        <w:t xml:space="preserve"> 5.º e 11.º é aplicável às rendas que se vençam a partir do dia 1 de abril de 2020 até ao dia 1 de setembro de 2020.</w:t>
      </w:r>
      <w:r w:rsidR="00D54D8D" w:rsidRPr="00C41844">
        <w:rPr>
          <w:rFonts w:ascii="Garamond" w:hAnsi="Garamond"/>
          <w:bCs/>
          <w:sz w:val="24"/>
          <w:szCs w:val="24"/>
        </w:rPr>
        <w:t>»</w:t>
      </w:r>
    </w:p>
    <w:bookmarkEnd w:id="3"/>
    <w:bookmarkEnd w:id="4"/>
    <w:bookmarkEnd w:id="6"/>
    <w:p w14:paraId="599E6404" w14:textId="77777777" w:rsidR="00A42FB1" w:rsidRPr="00C41844" w:rsidRDefault="00A42FB1" w:rsidP="00A42FB1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  <w:r w:rsidRPr="00C41844">
        <w:rPr>
          <w:rFonts w:ascii="Garamond" w:hAnsi="Garamond" w:cs="Calibri"/>
          <w:bCs/>
          <w:sz w:val="24"/>
          <w:szCs w:val="24"/>
        </w:rPr>
        <w:t>Artigo 3.º</w:t>
      </w:r>
    </w:p>
    <w:p w14:paraId="2C6FDCA6" w14:textId="77777777" w:rsidR="00A42FB1" w:rsidRPr="00C41844" w:rsidRDefault="00A42FB1" w:rsidP="00A42FB1">
      <w:pPr>
        <w:widowControl w:val="0"/>
        <w:spacing w:after="0"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C41844">
        <w:rPr>
          <w:rFonts w:ascii="Garamond" w:hAnsi="Garamond" w:cs="Calibri"/>
          <w:b/>
          <w:sz w:val="24"/>
          <w:szCs w:val="24"/>
        </w:rPr>
        <w:t>Alterações sistemáticas</w:t>
      </w:r>
    </w:p>
    <w:p w14:paraId="5A70950F" w14:textId="77777777" w:rsidR="00A42FB1" w:rsidRPr="00C41844" w:rsidRDefault="00A42FB1" w:rsidP="00A42FB1">
      <w:pPr>
        <w:widowControl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 xml:space="preserve">A epígrafe do artigo 10.º passa a designar-se </w:t>
      </w:r>
      <w:r w:rsidR="00394AB8" w:rsidRPr="00C41844">
        <w:rPr>
          <w:rFonts w:ascii="Garamond" w:hAnsi="Garamond"/>
          <w:bCs/>
          <w:sz w:val="24"/>
          <w:szCs w:val="24"/>
        </w:rPr>
        <w:t>«</w:t>
      </w:r>
      <w:r w:rsidRPr="00C41844">
        <w:rPr>
          <w:rFonts w:ascii="Garamond" w:hAnsi="Garamond"/>
          <w:bCs/>
          <w:sz w:val="24"/>
          <w:szCs w:val="24"/>
        </w:rPr>
        <w:t>Outras formas contratuais</w:t>
      </w:r>
      <w:r w:rsidR="00394AB8" w:rsidRPr="00C41844">
        <w:rPr>
          <w:rFonts w:ascii="Garamond" w:hAnsi="Garamond"/>
          <w:bCs/>
          <w:sz w:val="24"/>
          <w:szCs w:val="24"/>
        </w:rPr>
        <w:t>»</w:t>
      </w:r>
      <w:r w:rsidRPr="00C41844">
        <w:rPr>
          <w:rFonts w:ascii="Garamond" w:hAnsi="Garamond"/>
          <w:bCs/>
          <w:sz w:val="24"/>
          <w:szCs w:val="24"/>
        </w:rPr>
        <w:t>.</w:t>
      </w:r>
    </w:p>
    <w:p w14:paraId="1DF3E638" w14:textId="77777777" w:rsidR="00280EB7" w:rsidRPr="00C41844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4641D049" w14:textId="77777777" w:rsidR="00280EB7" w:rsidRPr="00C41844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6850EB9D" w14:textId="77777777" w:rsidR="00280EB7" w:rsidRPr="00C41844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59A0EF8B" w14:textId="77777777" w:rsidR="00280EB7" w:rsidRPr="00C41844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78AD7E41" w14:textId="6FF1C659" w:rsidR="00280EB7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29533879" w14:textId="77777777" w:rsidR="00C41844" w:rsidRPr="00C41844" w:rsidRDefault="00C41844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28C6912D" w14:textId="77777777" w:rsidR="00280EB7" w:rsidRPr="00C41844" w:rsidRDefault="00280EB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</w:p>
    <w:p w14:paraId="368F2EA5" w14:textId="32D176C7" w:rsidR="001F20E7" w:rsidRPr="00C41844" w:rsidRDefault="001F20E7" w:rsidP="003730CC">
      <w:pPr>
        <w:widowControl w:val="0"/>
        <w:spacing w:after="120" w:line="360" w:lineRule="auto"/>
        <w:jc w:val="center"/>
        <w:rPr>
          <w:rFonts w:ascii="Garamond" w:hAnsi="Garamond" w:cs="Calibri"/>
          <w:bCs/>
          <w:sz w:val="24"/>
          <w:szCs w:val="24"/>
        </w:rPr>
      </w:pPr>
      <w:r w:rsidRPr="00C41844">
        <w:rPr>
          <w:rFonts w:ascii="Garamond" w:hAnsi="Garamond" w:cs="Calibri"/>
          <w:bCs/>
          <w:sz w:val="24"/>
          <w:szCs w:val="24"/>
        </w:rPr>
        <w:t xml:space="preserve">Artigo </w:t>
      </w:r>
      <w:r w:rsidR="00A42FB1" w:rsidRPr="00C41844">
        <w:rPr>
          <w:rFonts w:ascii="Garamond" w:hAnsi="Garamond" w:cs="Calibri"/>
          <w:bCs/>
          <w:sz w:val="24"/>
          <w:szCs w:val="24"/>
        </w:rPr>
        <w:t>4</w:t>
      </w:r>
      <w:r w:rsidR="007553F3" w:rsidRPr="00C41844">
        <w:rPr>
          <w:rFonts w:ascii="Garamond" w:hAnsi="Garamond" w:cs="Calibri"/>
          <w:bCs/>
          <w:sz w:val="24"/>
          <w:szCs w:val="24"/>
        </w:rPr>
        <w:t>.º</w:t>
      </w:r>
    </w:p>
    <w:p w14:paraId="2DFD36FA" w14:textId="77777777" w:rsidR="00693DAC" w:rsidRPr="00C41844" w:rsidRDefault="00693DAC" w:rsidP="007A656A">
      <w:pPr>
        <w:widowControl w:val="0"/>
        <w:spacing w:after="0" w:line="360" w:lineRule="auto"/>
        <w:jc w:val="center"/>
        <w:rPr>
          <w:rFonts w:ascii="Garamond" w:hAnsi="Garamond" w:cs="Calibri"/>
          <w:b/>
          <w:sz w:val="24"/>
          <w:szCs w:val="24"/>
        </w:rPr>
      </w:pPr>
      <w:bookmarkStart w:id="7" w:name="_Hlk39168562"/>
      <w:r w:rsidRPr="00C41844">
        <w:rPr>
          <w:rFonts w:ascii="Garamond" w:hAnsi="Garamond" w:cs="Calibri"/>
          <w:b/>
          <w:sz w:val="24"/>
          <w:szCs w:val="24"/>
        </w:rPr>
        <w:t>Entrada</w:t>
      </w:r>
      <w:r w:rsidR="00F55724" w:rsidRPr="00C41844">
        <w:rPr>
          <w:rFonts w:ascii="Garamond" w:hAnsi="Garamond" w:cs="Calibri"/>
          <w:b/>
          <w:sz w:val="24"/>
          <w:szCs w:val="24"/>
        </w:rPr>
        <w:t xml:space="preserve"> em vigor</w:t>
      </w:r>
    </w:p>
    <w:p w14:paraId="6632CFC9" w14:textId="77777777" w:rsidR="009A276D" w:rsidRPr="00C41844" w:rsidRDefault="00061183" w:rsidP="007A656A">
      <w:pPr>
        <w:widowControl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C41844">
        <w:rPr>
          <w:rFonts w:ascii="Garamond" w:hAnsi="Garamond"/>
          <w:bCs/>
          <w:sz w:val="24"/>
          <w:szCs w:val="24"/>
        </w:rPr>
        <w:t xml:space="preserve">A </w:t>
      </w:r>
      <w:r w:rsidR="009A276D" w:rsidRPr="00C41844">
        <w:rPr>
          <w:rFonts w:ascii="Garamond" w:hAnsi="Garamond"/>
          <w:bCs/>
          <w:sz w:val="24"/>
          <w:szCs w:val="24"/>
        </w:rPr>
        <w:t xml:space="preserve">presente </w:t>
      </w:r>
      <w:r w:rsidR="003A4A47" w:rsidRPr="00C41844">
        <w:rPr>
          <w:rFonts w:ascii="Garamond" w:hAnsi="Garamond"/>
          <w:bCs/>
          <w:sz w:val="24"/>
          <w:szCs w:val="24"/>
        </w:rPr>
        <w:t>lei</w:t>
      </w:r>
      <w:r w:rsidR="009A276D" w:rsidRPr="00C41844">
        <w:rPr>
          <w:rFonts w:ascii="Garamond" w:hAnsi="Garamond"/>
          <w:bCs/>
          <w:sz w:val="24"/>
          <w:szCs w:val="24"/>
        </w:rPr>
        <w:t xml:space="preserve"> entra </w:t>
      </w:r>
      <w:r w:rsidR="0081796E" w:rsidRPr="00C41844">
        <w:rPr>
          <w:rFonts w:ascii="Garamond" w:hAnsi="Garamond"/>
          <w:bCs/>
          <w:sz w:val="24"/>
          <w:szCs w:val="24"/>
        </w:rPr>
        <w:t xml:space="preserve">em vigor </w:t>
      </w:r>
      <w:r w:rsidR="009F2CE9" w:rsidRPr="00C41844">
        <w:rPr>
          <w:rFonts w:ascii="Garamond" w:hAnsi="Garamond"/>
          <w:bCs/>
          <w:sz w:val="24"/>
          <w:szCs w:val="24"/>
        </w:rPr>
        <w:t>no dia seguinte ao da sua publicação</w:t>
      </w:r>
      <w:r w:rsidR="009A276D" w:rsidRPr="00C41844">
        <w:rPr>
          <w:rFonts w:ascii="Garamond" w:hAnsi="Garamond"/>
          <w:bCs/>
          <w:sz w:val="24"/>
          <w:szCs w:val="24"/>
        </w:rPr>
        <w:t>.</w:t>
      </w:r>
    </w:p>
    <w:p w14:paraId="465A5059" w14:textId="77777777" w:rsidR="0081796E" w:rsidRPr="00C41844" w:rsidRDefault="0081796E" w:rsidP="003730CC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rPr>
          <w:rFonts w:ascii="Garamond" w:eastAsia="Calibri" w:hAnsi="Garamond"/>
          <w:bCs/>
          <w:lang w:eastAsia="en-US"/>
        </w:rPr>
      </w:pPr>
    </w:p>
    <w:bookmarkEnd w:id="7"/>
    <w:p w14:paraId="11C9499D" w14:textId="52B41573" w:rsidR="009A276D" w:rsidRPr="00C41844" w:rsidRDefault="009A276D" w:rsidP="003730CC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rPr>
          <w:rFonts w:ascii="Garamond" w:eastAsia="Calibri" w:hAnsi="Garamond"/>
          <w:bCs/>
          <w:lang w:eastAsia="en-US"/>
        </w:rPr>
      </w:pPr>
      <w:r w:rsidRPr="00C41844">
        <w:rPr>
          <w:rFonts w:ascii="Garamond" w:eastAsia="Calibri" w:hAnsi="Garamond"/>
          <w:bCs/>
          <w:lang w:eastAsia="en-US"/>
        </w:rPr>
        <w:t>Visto e aprovado em Conselho de Ministros de</w:t>
      </w:r>
      <w:r w:rsidR="00937BB1" w:rsidRPr="00C41844">
        <w:rPr>
          <w:rFonts w:ascii="Garamond" w:eastAsia="Calibri" w:hAnsi="Garamond"/>
          <w:bCs/>
          <w:lang w:eastAsia="en-US"/>
        </w:rPr>
        <w:t xml:space="preserve"> </w:t>
      </w:r>
      <w:r w:rsidR="00C41844">
        <w:rPr>
          <w:rFonts w:ascii="Garamond" w:eastAsia="Calibri" w:hAnsi="Garamond"/>
          <w:bCs/>
          <w:lang w:eastAsia="en-US"/>
        </w:rPr>
        <w:t>15 de maio de 2020</w:t>
      </w:r>
    </w:p>
    <w:p w14:paraId="7219D95C" w14:textId="77777777" w:rsidR="00061183" w:rsidRPr="00C41844" w:rsidRDefault="00061183" w:rsidP="003730CC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rPr>
          <w:rFonts w:ascii="Garamond" w:eastAsia="Calibri" w:hAnsi="Garamond"/>
          <w:bCs/>
          <w:lang w:eastAsia="en-US"/>
        </w:rPr>
      </w:pPr>
    </w:p>
    <w:p w14:paraId="64B489A4" w14:textId="77777777" w:rsidR="00061183" w:rsidRPr="00C41844" w:rsidRDefault="00061183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  <w:r w:rsidRPr="00C41844">
        <w:rPr>
          <w:rFonts w:ascii="Garamond" w:eastAsia="Calibri" w:hAnsi="Garamond"/>
          <w:bCs/>
          <w:lang w:eastAsia="en-US"/>
        </w:rPr>
        <w:t>O Primeiro-Ministro</w:t>
      </w:r>
    </w:p>
    <w:p w14:paraId="7D115614" w14:textId="64BC3FDD" w:rsidR="00061183" w:rsidRPr="00C41844" w:rsidRDefault="00061183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</w:p>
    <w:p w14:paraId="24EAFD4B" w14:textId="77777777" w:rsidR="00280EB7" w:rsidRPr="00C41844" w:rsidRDefault="00280EB7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</w:p>
    <w:p w14:paraId="1D2046FC" w14:textId="77777777" w:rsidR="00061183" w:rsidRPr="00C41844" w:rsidRDefault="007905D6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  <w:r w:rsidRPr="00C41844">
        <w:rPr>
          <w:rFonts w:ascii="Garamond" w:eastAsia="Calibri" w:hAnsi="Garamond"/>
          <w:bCs/>
          <w:lang w:eastAsia="en-US"/>
        </w:rPr>
        <w:t>O Ministro das Infraestruturas e da Habitação</w:t>
      </w:r>
    </w:p>
    <w:p w14:paraId="7A5005FD" w14:textId="6603F152" w:rsidR="007905D6" w:rsidRPr="00C41844" w:rsidRDefault="007905D6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</w:p>
    <w:p w14:paraId="404DD724" w14:textId="77777777" w:rsidR="00280EB7" w:rsidRPr="00C41844" w:rsidRDefault="00280EB7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eastAsia="Calibri" w:hAnsi="Garamond"/>
          <w:bCs/>
          <w:lang w:eastAsia="en-US"/>
        </w:rPr>
      </w:pPr>
    </w:p>
    <w:p w14:paraId="6B02AFF2" w14:textId="77777777" w:rsidR="00061183" w:rsidRPr="00C41844" w:rsidRDefault="00061183" w:rsidP="00061183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hAnsi="Garamond"/>
          <w:bCs/>
        </w:rPr>
      </w:pPr>
      <w:r w:rsidRPr="00C41844">
        <w:rPr>
          <w:rFonts w:ascii="Garamond" w:eastAsia="Calibri" w:hAnsi="Garamond"/>
          <w:bCs/>
          <w:lang w:eastAsia="en-US"/>
        </w:rPr>
        <w:t>O Secretário de Estado dos Assuntos Parlamentares</w:t>
      </w:r>
    </w:p>
    <w:sectPr w:rsidR="00061183" w:rsidRPr="00C41844" w:rsidSect="00F0724F">
      <w:headerReference w:type="default" r:id="rId11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07F6" w14:textId="77777777" w:rsidR="00EA0EB7" w:rsidRDefault="00EA0EB7" w:rsidP="001C6398">
      <w:pPr>
        <w:spacing w:after="0" w:line="240" w:lineRule="auto"/>
      </w:pPr>
      <w:r>
        <w:separator/>
      </w:r>
    </w:p>
  </w:endnote>
  <w:endnote w:type="continuationSeparator" w:id="0">
    <w:p w14:paraId="643AAB39" w14:textId="77777777" w:rsidR="00EA0EB7" w:rsidRDefault="00EA0EB7" w:rsidP="001C6398">
      <w:pPr>
        <w:spacing w:after="0" w:line="240" w:lineRule="auto"/>
      </w:pPr>
      <w:r>
        <w:continuationSeparator/>
      </w:r>
    </w:p>
  </w:endnote>
  <w:endnote w:type="continuationNotice" w:id="1">
    <w:p w14:paraId="389DC60C" w14:textId="77777777" w:rsidR="00EA0EB7" w:rsidRDefault="00EA0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2BBE" w14:textId="77777777" w:rsidR="00EA0EB7" w:rsidRDefault="00EA0EB7" w:rsidP="001C6398">
      <w:pPr>
        <w:spacing w:after="0" w:line="240" w:lineRule="auto"/>
      </w:pPr>
      <w:r>
        <w:separator/>
      </w:r>
    </w:p>
  </w:footnote>
  <w:footnote w:type="continuationSeparator" w:id="0">
    <w:p w14:paraId="185709E4" w14:textId="77777777" w:rsidR="00EA0EB7" w:rsidRDefault="00EA0EB7" w:rsidP="001C6398">
      <w:pPr>
        <w:spacing w:after="0" w:line="240" w:lineRule="auto"/>
      </w:pPr>
      <w:r>
        <w:continuationSeparator/>
      </w:r>
    </w:p>
  </w:footnote>
  <w:footnote w:type="continuationNotice" w:id="1">
    <w:p w14:paraId="094148A5" w14:textId="77777777" w:rsidR="00EA0EB7" w:rsidRDefault="00EA0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CCA0" w14:textId="524D4CDF" w:rsidR="00FB1A8A" w:rsidRPr="00FB1A8A" w:rsidRDefault="00FB1A8A" w:rsidP="00FB1A8A">
    <w:pPr>
      <w:spacing w:after="240" w:line="240" w:lineRule="auto"/>
      <w:jc w:val="center"/>
      <w:rPr>
        <w:rFonts w:ascii="Univers" w:eastAsia="Times New Roman" w:hAnsi="Univers"/>
        <w:position w:val="36"/>
        <w:sz w:val="20"/>
        <w:szCs w:val="20"/>
        <w:lang w:eastAsia="pt-PT"/>
      </w:rPr>
    </w:pPr>
    <w:r w:rsidRPr="00FB1A8A">
      <w:rPr>
        <w:rFonts w:ascii="Palatino" w:eastAsia="Times New Roman" w:hAnsi="Palatino"/>
        <w:position w:val="36"/>
        <w:szCs w:val="20"/>
        <w:lang w:eastAsia="pt-PT"/>
      </w:rPr>
      <w:tab/>
    </w:r>
    <w:r w:rsidR="007C708B">
      <w:rPr>
        <w:rFonts w:ascii="Times New Roman" w:eastAsia="Times New Roman" w:hAnsi="Times New Roman"/>
        <w:noProof/>
        <w:sz w:val="20"/>
        <w:szCs w:val="20"/>
        <w:lang w:eastAsia="pt-PT"/>
      </w:rPr>
      <w:drawing>
        <wp:inline distT="0" distB="0" distL="0" distR="0" wp14:anchorId="0EE00F10" wp14:editId="20AE1AF8">
          <wp:extent cx="409575" cy="409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AFDC0" w14:textId="77777777" w:rsidR="00FB1A8A" w:rsidRPr="00FB1A8A" w:rsidRDefault="00FB1A8A" w:rsidP="00FB1A8A">
    <w:pPr>
      <w:spacing w:after="360" w:line="240" w:lineRule="auto"/>
      <w:ind w:right="850" w:firstLine="567"/>
      <w:jc w:val="center"/>
      <w:rPr>
        <w:rFonts w:ascii="Palatino" w:eastAsia="Times New Roman" w:hAnsi="Palatino"/>
        <w:sz w:val="24"/>
        <w:szCs w:val="20"/>
        <w:lang w:eastAsia="pt-PT"/>
      </w:rPr>
    </w:pPr>
    <w:r w:rsidRPr="00FB1A8A">
      <w:rPr>
        <w:rFonts w:ascii="Arial" w:eastAsia="Times New Roman" w:hAnsi="Arial"/>
        <w:sz w:val="24"/>
        <w:szCs w:val="20"/>
        <w:lang w:eastAsia="pt-PT"/>
      </w:rPr>
      <w:t>PRESIDÊNCIA DO CONSELHO DE MINISTROS</w:t>
    </w:r>
  </w:p>
  <w:p w14:paraId="1575909C" w14:textId="77777777" w:rsidR="00FB1A8A" w:rsidRPr="00FB1A8A" w:rsidRDefault="00FB1A8A" w:rsidP="00FB1A8A">
    <w:pPr>
      <w:tabs>
        <w:tab w:val="right" w:pos="7371"/>
      </w:tabs>
      <w:spacing w:after="0" w:line="240" w:lineRule="auto"/>
      <w:ind w:left="709"/>
      <w:jc w:val="both"/>
      <w:rPr>
        <w:rFonts w:ascii="Times New Roman" w:eastAsia="Times New Roman" w:hAnsi="Times New Roman"/>
        <w:sz w:val="24"/>
        <w:szCs w:val="20"/>
        <w:u w:val="dotted"/>
        <w:lang w:eastAsia="pt-PT"/>
      </w:rPr>
    </w:pPr>
    <w:r w:rsidRPr="00FB1A8A">
      <w:rPr>
        <w:rFonts w:ascii="Times New Roman" w:eastAsia="Times New Roman" w:hAnsi="Times New Roman"/>
        <w:sz w:val="24"/>
        <w:szCs w:val="20"/>
        <w:u w:val="dotted"/>
        <w:lang w:eastAsia="pt-PT"/>
      </w:rPr>
      <w:tab/>
    </w:r>
  </w:p>
  <w:p w14:paraId="5A396CB0" w14:textId="77777777" w:rsidR="00FB1A8A" w:rsidRPr="00FB1A8A" w:rsidRDefault="00FB1A8A" w:rsidP="00FB1A8A">
    <w:pPr>
      <w:tabs>
        <w:tab w:val="right" w:pos="7371"/>
      </w:tabs>
      <w:spacing w:after="0" w:line="240" w:lineRule="auto"/>
      <w:ind w:left="709"/>
      <w:jc w:val="both"/>
      <w:rPr>
        <w:rFonts w:ascii="Times New Roman" w:eastAsia="Times New Roman" w:hAnsi="Times New Roman"/>
        <w:sz w:val="24"/>
        <w:szCs w:val="20"/>
        <w:u w:val="dotted"/>
        <w:lang w:eastAsia="pt-PT"/>
      </w:rPr>
    </w:pPr>
  </w:p>
  <w:p w14:paraId="680B88BB" w14:textId="77777777" w:rsidR="00FB1A8A" w:rsidRPr="00FB1A8A" w:rsidRDefault="00FB1A8A" w:rsidP="00FB1A8A">
    <w:pPr>
      <w:tabs>
        <w:tab w:val="left" w:pos="4678"/>
        <w:tab w:val="left" w:pos="6237"/>
      </w:tabs>
      <w:spacing w:after="0" w:line="240" w:lineRule="auto"/>
      <w:ind w:firstLine="2410"/>
      <w:jc w:val="both"/>
      <w:rPr>
        <w:rFonts w:ascii="Palatino" w:eastAsia="Times New Roman" w:hAnsi="Palatino"/>
        <w:sz w:val="24"/>
        <w:szCs w:val="24"/>
        <w:lang w:eastAsia="pt-PT"/>
      </w:rPr>
    </w:pPr>
  </w:p>
  <w:p w14:paraId="3AD79775" w14:textId="77777777" w:rsidR="001C6398" w:rsidRDefault="001C63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E30"/>
    <w:multiLevelType w:val="hybridMultilevel"/>
    <w:tmpl w:val="B7748A84"/>
    <w:lvl w:ilvl="0" w:tplc="62584AF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14B"/>
    <w:multiLevelType w:val="hybridMultilevel"/>
    <w:tmpl w:val="AB741574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A6A1C"/>
    <w:multiLevelType w:val="hybridMultilevel"/>
    <w:tmpl w:val="8758D2A6"/>
    <w:lvl w:ilvl="0" w:tplc="D92280B2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25517"/>
    <w:multiLevelType w:val="hybridMultilevel"/>
    <w:tmpl w:val="7F0093E8"/>
    <w:lvl w:ilvl="0" w:tplc="88468208">
      <w:start w:val="1"/>
      <w:numFmt w:val="decimal"/>
      <w:lvlText w:val="%1 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4A3D61"/>
    <w:multiLevelType w:val="hybridMultilevel"/>
    <w:tmpl w:val="C11CFF8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4"/>
    <w:rsid w:val="000231CE"/>
    <w:rsid w:val="00023D1A"/>
    <w:rsid w:val="000301BA"/>
    <w:rsid w:val="00034152"/>
    <w:rsid w:val="000408CA"/>
    <w:rsid w:val="0004125B"/>
    <w:rsid w:val="00050CA3"/>
    <w:rsid w:val="00051608"/>
    <w:rsid w:val="000609D3"/>
    <w:rsid w:val="00061183"/>
    <w:rsid w:val="00066B76"/>
    <w:rsid w:val="00073023"/>
    <w:rsid w:val="00081B47"/>
    <w:rsid w:val="00094BE3"/>
    <w:rsid w:val="000A063F"/>
    <w:rsid w:val="000B7264"/>
    <w:rsid w:val="000D357B"/>
    <w:rsid w:val="000E13C3"/>
    <w:rsid w:val="000E23F4"/>
    <w:rsid w:val="000E5D1C"/>
    <w:rsid w:val="000F498D"/>
    <w:rsid w:val="000F7277"/>
    <w:rsid w:val="0010050A"/>
    <w:rsid w:val="00102B53"/>
    <w:rsid w:val="001104EB"/>
    <w:rsid w:val="001167C9"/>
    <w:rsid w:val="00120A06"/>
    <w:rsid w:val="00135D47"/>
    <w:rsid w:val="001371F1"/>
    <w:rsid w:val="00155910"/>
    <w:rsid w:val="001674E0"/>
    <w:rsid w:val="0017366A"/>
    <w:rsid w:val="001A3241"/>
    <w:rsid w:val="001B1B0C"/>
    <w:rsid w:val="001B72F5"/>
    <w:rsid w:val="001C078C"/>
    <w:rsid w:val="001C547E"/>
    <w:rsid w:val="001C6398"/>
    <w:rsid w:val="001D1FFA"/>
    <w:rsid w:val="001E0EC4"/>
    <w:rsid w:val="001F129B"/>
    <w:rsid w:val="001F20E7"/>
    <w:rsid w:val="001F5EFF"/>
    <w:rsid w:val="002060A1"/>
    <w:rsid w:val="00207B58"/>
    <w:rsid w:val="00210F6F"/>
    <w:rsid w:val="00214836"/>
    <w:rsid w:val="00220145"/>
    <w:rsid w:val="002254E2"/>
    <w:rsid w:val="0023182C"/>
    <w:rsid w:val="00237904"/>
    <w:rsid w:val="002453B1"/>
    <w:rsid w:val="00250B30"/>
    <w:rsid w:val="002530EA"/>
    <w:rsid w:val="002577A2"/>
    <w:rsid w:val="002578C9"/>
    <w:rsid w:val="00263B3A"/>
    <w:rsid w:val="00267B2E"/>
    <w:rsid w:val="00267CF2"/>
    <w:rsid w:val="0028042E"/>
    <w:rsid w:val="00280EB7"/>
    <w:rsid w:val="002815A0"/>
    <w:rsid w:val="002828F2"/>
    <w:rsid w:val="00286C08"/>
    <w:rsid w:val="002A2C46"/>
    <w:rsid w:val="002D1764"/>
    <w:rsid w:val="002D2498"/>
    <w:rsid w:val="002E0827"/>
    <w:rsid w:val="002E4C44"/>
    <w:rsid w:val="002F3E12"/>
    <w:rsid w:val="002F5497"/>
    <w:rsid w:val="00311144"/>
    <w:rsid w:val="003113EC"/>
    <w:rsid w:val="00317370"/>
    <w:rsid w:val="00321FE5"/>
    <w:rsid w:val="003475CA"/>
    <w:rsid w:val="00361B4A"/>
    <w:rsid w:val="00365FD3"/>
    <w:rsid w:val="003730CC"/>
    <w:rsid w:val="003759E4"/>
    <w:rsid w:val="00376528"/>
    <w:rsid w:val="00377471"/>
    <w:rsid w:val="003915A2"/>
    <w:rsid w:val="00394846"/>
    <w:rsid w:val="00394AB8"/>
    <w:rsid w:val="003A4A47"/>
    <w:rsid w:val="003A69F6"/>
    <w:rsid w:val="003B2045"/>
    <w:rsid w:val="003C2C18"/>
    <w:rsid w:val="003C460A"/>
    <w:rsid w:val="003C5F5B"/>
    <w:rsid w:val="003C5F60"/>
    <w:rsid w:val="003D28E2"/>
    <w:rsid w:val="003D378C"/>
    <w:rsid w:val="003D45F5"/>
    <w:rsid w:val="003D7728"/>
    <w:rsid w:val="003E3BC0"/>
    <w:rsid w:val="003F7D6B"/>
    <w:rsid w:val="00401A65"/>
    <w:rsid w:val="00404CB9"/>
    <w:rsid w:val="00406BE8"/>
    <w:rsid w:val="004243E8"/>
    <w:rsid w:val="00425F0F"/>
    <w:rsid w:val="00430589"/>
    <w:rsid w:val="0043376E"/>
    <w:rsid w:val="00443FC4"/>
    <w:rsid w:val="004463AE"/>
    <w:rsid w:val="004663C7"/>
    <w:rsid w:val="00476F0E"/>
    <w:rsid w:val="00487C75"/>
    <w:rsid w:val="004900D1"/>
    <w:rsid w:val="00490E79"/>
    <w:rsid w:val="004A7AD3"/>
    <w:rsid w:val="004B0B05"/>
    <w:rsid w:val="004D0297"/>
    <w:rsid w:val="004D0A18"/>
    <w:rsid w:val="004D376B"/>
    <w:rsid w:val="004E5759"/>
    <w:rsid w:val="004E695F"/>
    <w:rsid w:val="00502951"/>
    <w:rsid w:val="00507475"/>
    <w:rsid w:val="00520519"/>
    <w:rsid w:val="00521964"/>
    <w:rsid w:val="00525658"/>
    <w:rsid w:val="0052597C"/>
    <w:rsid w:val="00527B1A"/>
    <w:rsid w:val="0055152F"/>
    <w:rsid w:val="005619BD"/>
    <w:rsid w:val="00572EF3"/>
    <w:rsid w:val="00576730"/>
    <w:rsid w:val="0058333C"/>
    <w:rsid w:val="005837A7"/>
    <w:rsid w:val="005A45AD"/>
    <w:rsid w:val="005B37E9"/>
    <w:rsid w:val="005C0F1F"/>
    <w:rsid w:val="005D4DD0"/>
    <w:rsid w:val="005E03AD"/>
    <w:rsid w:val="005E5FC4"/>
    <w:rsid w:val="005E7128"/>
    <w:rsid w:val="005F320E"/>
    <w:rsid w:val="005F49BE"/>
    <w:rsid w:val="006038E9"/>
    <w:rsid w:val="0061088B"/>
    <w:rsid w:val="00623265"/>
    <w:rsid w:val="00634555"/>
    <w:rsid w:val="00636B55"/>
    <w:rsid w:val="006411ED"/>
    <w:rsid w:val="006437AA"/>
    <w:rsid w:val="00653344"/>
    <w:rsid w:val="00661288"/>
    <w:rsid w:val="006624DB"/>
    <w:rsid w:val="0068357D"/>
    <w:rsid w:val="00683807"/>
    <w:rsid w:val="00691B5B"/>
    <w:rsid w:val="00693DAC"/>
    <w:rsid w:val="006A4F0F"/>
    <w:rsid w:val="006B0A57"/>
    <w:rsid w:val="006B5A0E"/>
    <w:rsid w:val="006C2E8A"/>
    <w:rsid w:val="006C661F"/>
    <w:rsid w:val="006D4A95"/>
    <w:rsid w:val="006D7928"/>
    <w:rsid w:val="006E03BA"/>
    <w:rsid w:val="006E7333"/>
    <w:rsid w:val="006F191F"/>
    <w:rsid w:val="006F2BCA"/>
    <w:rsid w:val="006F5065"/>
    <w:rsid w:val="00704709"/>
    <w:rsid w:val="00704CB1"/>
    <w:rsid w:val="0070667B"/>
    <w:rsid w:val="00713502"/>
    <w:rsid w:val="00721067"/>
    <w:rsid w:val="00724CEE"/>
    <w:rsid w:val="00730A14"/>
    <w:rsid w:val="0073138D"/>
    <w:rsid w:val="00734C08"/>
    <w:rsid w:val="0073651F"/>
    <w:rsid w:val="00736919"/>
    <w:rsid w:val="00736941"/>
    <w:rsid w:val="007508DD"/>
    <w:rsid w:val="00751B28"/>
    <w:rsid w:val="007525E9"/>
    <w:rsid w:val="007553F3"/>
    <w:rsid w:val="007554BE"/>
    <w:rsid w:val="00761B8C"/>
    <w:rsid w:val="0076738C"/>
    <w:rsid w:val="00771F28"/>
    <w:rsid w:val="00772890"/>
    <w:rsid w:val="00773225"/>
    <w:rsid w:val="00774DA6"/>
    <w:rsid w:val="00781637"/>
    <w:rsid w:val="007905D6"/>
    <w:rsid w:val="00791705"/>
    <w:rsid w:val="00791CA1"/>
    <w:rsid w:val="007A2051"/>
    <w:rsid w:val="007A4530"/>
    <w:rsid w:val="007A656A"/>
    <w:rsid w:val="007C708B"/>
    <w:rsid w:val="007E2BDE"/>
    <w:rsid w:val="007E5A85"/>
    <w:rsid w:val="007E7B22"/>
    <w:rsid w:val="007F162A"/>
    <w:rsid w:val="007F589A"/>
    <w:rsid w:val="007F7CB6"/>
    <w:rsid w:val="008014C0"/>
    <w:rsid w:val="00804997"/>
    <w:rsid w:val="00806208"/>
    <w:rsid w:val="00806819"/>
    <w:rsid w:val="00807B29"/>
    <w:rsid w:val="00807DBD"/>
    <w:rsid w:val="0081796E"/>
    <w:rsid w:val="00832A94"/>
    <w:rsid w:val="00834215"/>
    <w:rsid w:val="00834BF6"/>
    <w:rsid w:val="0084095A"/>
    <w:rsid w:val="0084228E"/>
    <w:rsid w:val="00844E78"/>
    <w:rsid w:val="00854723"/>
    <w:rsid w:val="00855C29"/>
    <w:rsid w:val="0085609D"/>
    <w:rsid w:val="00856865"/>
    <w:rsid w:val="00872BAF"/>
    <w:rsid w:val="00872CED"/>
    <w:rsid w:val="00877734"/>
    <w:rsid w:val="008957C9"/>
    <w:rsid w:val="008B1008"/>
    <w:rsid w:val="008B3C83"/>
    <w:rsid w:val="008B4B03"/>
    <w:rsid w:val="008B5E0B"/>
    <w:rsid w:val="008C441E"/>
    <w:rsid w:val="008D1BB6"/>
    <w:rsid w:val="008E15DC"/>
    <w:rsid w:val="008E3623"/>
    <w:rsid w:val="008F3687"/>
    <w:rsid w:val="008F6806"/>
    <w:rsid w:val="00912A92"/>
    <w:rsid w:val="00914F21"/>
    <w:rsid w:val="009178AB"/>
    <w:rsid w:val="00921CA1"/>
    <w:rsid w:val="00923EBC"/>
    <w:rsid w:val="00926C32"/>
    <w:rsid w:val="00937BB1"/>
    <w:rsid w:val="00944E36"/>
    <w:rsid w:val="009547A9"/>
    <w:rsid w:val="009712EC"/>
    <w:rsid w:val="009745EE"/>
    <w:rsid w:val="00990C27"/>
    <w:rsid w:val="009925A3"/>
    <w:rsid w:val="00995248"/>
    <w:rsid w:val="009A276D"/>
    <w:rsid w:val="009A77F6"/>
    <w:rsid w:val="009C1143"/>
    <w:rsid w:val="009C6B62"/>
    <w:rsid w:val="009D1AB1"/>
    <w:rsid w:val="009D5637"/>
    <w:rsid w:val="009E6D79"/>
    <w:rsid w:val="009F1428"/>
    <w:rsid w:val="009F2CE9"/>
    <w:rsid w:val="00A037A3"/>
    <w:rsid w:val="00A04E9A"/>
    <w:rsid w:val="00A071D6"/>
    <w:rsid w:val="00A34803"/>
    <w:rsid w:val="00A42FB1"/>
    <w:rsid w:val="00A454D8"/>
    <w:rsid w:val="00A465A0"/>
    <w:rsid w:val="00A60F46"/>
    <w:rsid w:val="00A74395"/>
    <w:rsid w:val="00A77B88"/>
    <w:rsid w:val="00A84BCB"/>
    <w:rsid w:val="00A9179D"/>
    <w:rsid w:val="00AA5B2E"/>
    <w:rsid w:val="00AB348B"/>
    <w:rsid w:val="00AB5882"/>
    <w:rsid w:val="00AB690C"/>
    <w:rsid w:val="00AC26FD"/>
    <w:rsid w:val="00AC5443"/>
    <w:rsid w:val="00AD29DE"/>
    <w:rsid w:val="00AD590B"/>
    <w:rsid w:val="00AE3B14"/>
    <w:rsid w:val="00AE4A93"/>
    <w:rsid w:val="00AE622F"/>
    <w:rsid w:val="00AF5B7D"/>
    <w:rsid w:val="00B0744A"/>
    <w:rsid w:val="00B11770"/>
    <w:rsid w:val="00B1677B"/>
    <w:rsid w:val="00B22488"/>
    <w:rsid w:val="00B249EB"/>
    <w:rsid w:val="00B3273F"/>
    <w:rsid w:val="00B342F5"/>
    <w:rsid w:val="00B34B71"/>
    <w:rsid w:val="00B428E7"/>
    <w:rsid w:val="00B47EE6"/>
    <w:rsid w:val="00B5072F"/>
    <w:rsid w:val="00B53E89"/>
    <w:rsid w:val="00B62C0A"/>
    <w:rsid w:val="00B7089F"/>
    <w:rsid w:val="00B74521"/>
    <w:rsid w:val="00BA17AB"/>
    <w:rsid w:val="00BB00D3"/>
    <w:rsid w:val="00BB2947"/>
    <w:rsid w:val="00BB2B52"/>
    <w:rsid w:val="00BB5638"/>
    <w:rsid w:val="00BE178D"/>
    <w:rsid w:val="00BE58CB"/>
    <w:rsid w:val="00BF70BD"/>
    <w:rsid w:val="00C02770"/>
    <w:rsid w:val="00C0298D"/>
    <w:rsid w:val="00C0315D"/>
    <w:rsid w:val="00C0641E"/>
    <w:rsid w:val="00C11484"/>
    <w:rsid w:val="00C11C63"/>
    <w:rsid w:val="00C15415"/>
    <w:rsid w:val="00C219D5"/>
    <w:rsid w:val="00C224F3"/>
    <w:rsid w:val="00C355D0"/>
    <w:rsid w:val="00C36021"/>
    <w:rsid w:val="00C41844"/>
    <w:rsid w:val="00C440BD"/>
    <w:rsid w:val="00C577E9"/>
    <w:rsid w:val="00C65DAB"/>
    <w:rsid w:val="00C67743"/>
    <w:rsid w:val="00C71098"/>
    <w:rsid w:val="00C7501C"/>
    <w:rsid w:val="00C90091"/>
    <w:rsid w:val="00C90C00"/>
    <w:rsid w:val="00C91772"/>
    <w:rsid w:val="00C93623"/>
    <w:rsid w:val="00C937F4"/>
    <w:rsid w:val="00C95072"/>
    <w:rsid w:val="00CA48CF"/>
    <w:rsid w:val="00CA5A3C"/>
    <w:rsid w:val="00CB64DE"/>
    <w:rsid w:val="00CC0611"/>
    <w:rsid w:val="00CC145E"/>
    <w:rsid w:val="00CD2E30"/>
    <w:rsid w:val="00CD3788"/>
    <w:rsid w:val="00CD46CD"/>
    <w:rsid w:val="00CE04DD"/>
    <w:rsid w:val="00CE67A7"/>
    <w:rsid w:val="00CF07D6"/>
    <w:rsid w:val="00CF20BD"/>
    <w:rsid w:val="00CF3282"/>
    <w:rsid w:val="00CF3496"/>
    <w:rsid w:val="00D063EB"/>
    <w:rsid w:val="00D13737"/>
    <w:rsid w:val="00D15887"/>
    <w:rsid w:val="00D16977"/>
    <w:rsid w:val="00D21E1A"/>
    <w:rsid w:val="00D34F61"/>
    <w:rsid w:val="00D44951"/>
    <w:rsid w:val="00D44C55"/>
    <w:rsid w:val="00D46EA3"/>
    <w:rsid w:val="00D525B7"/>
    <w:rsid w:val="00D52899"/>
    <w:rsid w:val="00D54D8D"/>
    <w:rsid w:val="00D57BB4"/>
    <w:rsid w:val="00D6068E"/>
    <w:rsid w:val="00D70947"/>
    <w:rsid w:val="00DA6AD9"/>
    <w:rsid w:val="00DB7736"/>
    <w:rsid w:val="00DC0D8A"/>
    <w:rsid w:val="00DC3962"/>
    <w:rsid w:val="00DF7569"/>
    <w:rsid w:val="00E02286"/>
    <w:rsid w:val="00E0674B"/>
    <w:rsid w:val="00E1098D"/>
    <w:rsid w:val="00E11BE4"/>
    <w:rsid w:val="00E1304A"/>
    <w:rsid w:val="00E14E48"/>
    <w:rsid w:val="00E2108E"/>
    <w:rsid w:val="00E36A23"/>
    <w:rsid w:val="00E470F6"/>
    <w:rsid w:val="00E63CA2"/>
    <w:rsid w:val="00E66445"/>
    <w:rsid w:val="00E765A8"/>
    <w:rsid w:val="00E84994"/>
    <w:rsid w:val="00E85CBA"/>
    <w:rsid w:val="00E9090F"/>
    <w:rsid w:val="00EA0EB7"/>
    <w:rsid w:val="00EA6FAA"/>
    <w:rsid w:val="00EC1463"/>
    <w:rsid w:val="00EC5DB0"/>
    <w:rsid w:val="00ED0E90"/>
    <w:rsid w:val="00EF1076"/>
    <w:rsid w:val="00EF198A"/>
    <w:rsid w:val="00F068A6"/>
    <w:rsid w:val="00F0724F"/>
    <w:rsid w:val="00F13CCD"/>
    <w:rsid w:val="00F22B0B"/>
    <w:rsid w:val="00F22F7F"/>
    <w:rsid w:val="00F376FF"/>
    <w:rsid w:val="00F41DFA"/>
    <w:rsid w:val="00F47C42"/>
    <w:rsid w:val="00F55724"/>
    <w:rsid w:val="00F55B86"/>
    <w:rsid w:val="00F6553D"/>
    <w:rsid w:val="00F65FB6"/>
    <w:rsid w:val="00F71E8F"/>
    <w:rsid w:val="00F74F5E"/>
    <w:rsid w:val="00F809FA"/>
    <w:rsid w:val="00F85CBD"/>
    <w:rsid w:val="00F920BF"/>
    <w:rsid w:val="00F96D69"/>
    <w:rsid w:val="00FA1598"/>
    <w:rsid w:val="00FA16AA"/>
    <w:rsid w:val="00FA187C"/>
    <w:rsid w:val="00FA1A07"/>
    <w:rsid w:val="00FB049B"/>
    <w:rsid w:val="00FB1A8A"/>
    <w:rsid w:val="00FB374F"/>
    <w:rsid w:val="00FB665F"/>
    <w:rsid w:val="00FB7C1E"/>
    <w:rsid w:val="00FD6C74"/>
    <w:rsid w:val="00FE033B"/>
    <w:rsid w:val="00FE77B2"/>
    <w:rsid w:val="00FF3A5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FD6C7F"/>
  <w15:chartTrackingRefBased/>
  <w15:docId w15:val="{95FB75F9-F8B0-4516-9DC6-6940779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C75"/>
    <w:pPr>
      <w:spacing w:after="160" w:line="25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6398"/>
  </w:style>
  <w:style w:type="paragraph" w:styleId="Rodap">
    <w:name w:val="footer"/>
    <w:basedOn w:val="Normal"/>
    <w:link w:val="RodapCarter"/>
    <w:uiPriority w:val="99"/>
    <w:unhideWhenUsed/>
    <w:rsid w:val="001C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6398"/>
  </w:style>
  <w:style w:type="paragraph" w:styleId="Textodebalo">
    <w:name w:val="Balloon Text"/>
    <w:basedOn w:val="Normal"/>
    <w:link w:val="TextodebaloCarter"/>
    <w:uiPriority w:val="99"/>
    <w:semiHidden/>
    <w:unhideWhenUsed/>
    <w:rsid w:val="003C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3C46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5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uiPriority w:val="99"/>
    <w:semiHidden/>
    <w:unhideWhenUsed/>
    <w:rsid w:val="00425F0F"/>
    <w:rPr>
      <w:color w:val="0000FF"/>
      <w:u w:val="single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F47C4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FB374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374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FB374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374F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FB374F"/>
    <w:rPr>
      <w:b/>
      <w:bCs/>
      <w:sz w:val="20"/>
      <w:szCs w:val="20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487C75"/>
  </w:style>
  <w:style w:type="paragraph" w:customStyle="1" w:styleId="paragraph">
    <w:name w:val="paragraph"/>
    <w:basedOn w:val="Normal"/>
    <w:rsid w:val="006F1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6F191F"/>
  </w:style>
  <w:style w:type="paragraph" w:styleId="Reviso">
    <w:name w:val="Revision"/>
    <w:hidden/>
    <w:uiPriority w:val="99"/>
    <w:semiHidden/>
    <w:rsid w:val="00F809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Propostas de Lei</DesignacaoTipoIniciativa>
    <TipoIniciativa xmlns="2e97e158-1a31-4bff-9a0a-f8ebffd34ea8">P</TipoIniciativa>
    <DataDocumento xmlns="2e97e158-1a31-4bff-9a0a-f8ebffd34ea8">2020-05-14T23:00:00+00:00</DataDocumento>
    <IDFase xmlns="2e97e158-1a31-4bff-9a0a-f8ebffd34ea8">0</IDFase>
    <IDIniciativa xmlns="2e97e158-1a31-4bff-9a0a-f8ebffd34ea8">44879</IDIniciativa>
    <TipoDocumento xmlns="2e97e158-1a31-4bff-9a0a-f8ebffd34ea8">Texto</TipoDocumento>
    <NomeOriginalFicheiro xmlns="2e97e158-1a31-4bff-9a0a-f8ebffd34ea8">ppl32-XIV.docx</NomeOriginalFicheiro>
    <NROrdem xmlns="2e97e158-1a31-4bff-9a0a-f8ebffd34ea8">0</NROrdem>
    <PublicarInternet xmlns="2e97e158-1a31-4bff-9a0a-f8ebffd34ea8">true</PublicarInternet>
    <NRIniciativa xmlns="2e97e158-1a31-4bff-9a0a-f8ebffd34ea8">32</NRIniciativa>
    <Legislatura xmlns="2e97e158-1a31-4bff-9a0a-f8ebffd34ea8">XIV</Legislatura>
    <Sessao xmlns="2e97e158-1a31-4bff-9a0a-f8ebffd34ea8">1ª</Sessa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17A0-D58D-49E2-A0BE-7B641927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9CEA2-5425-4CC0-A3DD-1D4F5890DF08}"/>
</file>

<file path=customXml/itemProps3.xml><?xml version="1.0" encoding="utf-8"?>
<ds:datastoreItem xmlns:ds="http://schemas.openxmlformats.org/officeDocument/2006/customXml" ds:itemID="{FBABD4C4-41AB-4B99-B3FB-BC8DC1971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b22f0fd-6dc0-4991-8292-8a14fadc761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93C3F7-95E9-4DAA-A2D4-5021340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GSEPCM</dc:creator>
  <cp:keywords/>
  <dc:description/>
  <cp:lastModifiedBy>Pedro Camacho</cp:lastModifiedBy>
  <cp:revision>2</cp:revision>
  <cp:lastPrinted>2020-05-15T16:31:00Z</cp:lastPrinted>
  <dcterms:created xsi:type="dcterms:W3CDTF">2020-05-15T19:28:00Z</dcterms:created>
  <dcterms:modified xsi:type="dcterms:W3CDTF">2020-05-15T19:28:00Z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7900</vt:r8>
  </property>
</Properties>
</file>