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1500" w14:textId="77777777"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0FC1" wp14:editId="466C4DC8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EB73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04EF57A0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6D01351E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625FAF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BD2B45E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D5E41A2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408A245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6DF0FC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14:paraId="0362EB73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04EF57A0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6D01351E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625FAF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BD2B45E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D5E41A2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408A245" w14:textId="77777777"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14:paraId="0B448C9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FD29D20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2DE2C2C5" w14:textId="77777777"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F56D9DA" w14:textId="77777777" w:rsidR="00273433" w:rsidRPr="00094D16" w:rsidRDefault="00273433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013A9BED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F07BAD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1C582E0" w14:textId="77777777"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54C39FFF" w14:textId="77777777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7C90B0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7959F" w14:textId="77777777" w:rsidR="00CE0C78" w:rsidRPr="005934A3" w:rsidRDefault="00FD5C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807945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8A5B3C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61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154B9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BE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14:paraId="74EBB68F" w14:textId="77777777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DDCC0E" w14:textId="77777777"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A2DCC" w14:textId="77777777" w:rsidR="00CE0C78" w:rsidRDefault="00154B99" w:rsidP="00D5163C">
            <w:pPr>
              <w:rPr>
                <w:rFonts w:ascii="Arial" w:hAnsi="Arial" w:cs="Arial"/>
                <w:sz w:val="20"/>
                <w:szCs w:val="20"/>
              </w:rPr>
            </w:pPr>
            <w:r w:rsidRPr="00154B99">
              <w:rPr>
                <w:rFonts w:ascii="Arial" w:hAnsi="Arial" w:cs="Arial"/>
                <w:sz w:val="20"/>
                <w:szCs w:val="20"/>
              </w:rPr>
              <w:t>Dezanove Deputados do Bloco de Esquerda (BE)</w:t>
            </w:r>
          </w:p>
        </w:tc>
      </w:tr>
      <w:tr w:rsidR="00CE0C78" w14:paraId="0A543058" w14:textId="77777777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C788C8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72BD0" w14:textId="77777777"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88529" w14:textId="77777777" w:rsidR="00CE0C78" w:rsidRDefault="007E37A0" w:rsidP="00D513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8A5B3C" w:rsidRPr="008A5B3C">
              <w:rPr>
                <w:rFonts w:ascii="Arial" w:hAnsi="Arial" w:cs="Arial"/>
                <w:sz w:val="20"/>
                <w:szCs w:val="20"/>
              </w:rPr>
              <w:t>Determina a revisão do regime de recrutamento e mobilidade do pessoal docente dos ensinos básico e secundário</w:t>
            </w:r>
            <w:r w:rsidR="008A5B3C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34D92B05" w14:textId="77777777"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14:paraId="0CC8C5ED" w14:textId="77777777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CF450F" w14:textId="77777777"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926EA" w14:textId="77777777" w:rsidR="006041AB" w:rsidRDefault="00FD5C5F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B035D3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  <w:p w14:paraId="7A76D05F" w14:textId="77777777" w:rsidR="00D722EC" w:rsidRPr="00D722EC" w:rsidRDefault="00D722EC" w:rsidP="00D7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EC">
              <w:rPr>
                <w:rFonts w:ascii="Arial" w:hAnsi="Arial" w:cs="Arial"/>
                <w:sz w:val="20"/>
                <w:szCs w:val="20"/>
              </w:rPr>
              <w:t>A presente iniciativa parece poder envolver, no ano</w:t>
            </w:r>
          </w:p>
          <w:p w14:paraId="3B24C5E5" w14:textId="77777777" w:rsidR="00600A4B" w:rsidRPr="006041AB" w:rsidRDefault="00D722EC" w:rsidP="0027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EC">
              <w:rPr>
                <w:rFonts w:ascii="Arial" w:hAnsi="Arial" w:cs="Arial"/>
                <w:sz w:val="20"/>
                <w:szCs w:val="20"/>
              </w:rPr>
              <w:t>económico em curso, um</w:t>
            </w:r>
            <w:r w:rsidR="00E33E75">
              <w:rPr>
                <w:rFonts w:ascii="Arial" w:hAnsi="Arial" w:cs="Arial"/>
                <w:sz w:val="20"/>
                <w:szCs w:val="20"/>
              </w:rPr>
              <w:t xml:space="preserve"> aumento das despesas</w:t>
            </w:r>
            <w:r w:rsidR="00A04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E75">
              <w:rPr>
                <w:rFonts w:ascii="Arial" w:hAnsi="Arial" w:cs="Arial"/>
                <w:sz w:val="20"/>
                <w:szCs w:val="20"/>
              </w:rPr>
              <w:t>do</w:t>
            </w:r>
            <w:r w:rsidR="00A04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2EC">
              <w:rPr>
                <w:rFonts w:ascii="Arial" w:hAnsi="Arial" w:cs="Arial"/>
                <w:sz w:val="20"/>
                <w:szCs w:val="20"/>
              </w:rPr>
              <w:t>Estado previstas no Orçamento, o que constitui um</w:t>
            </w:r>
            <w:r w:rsidR="00A04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2EC">
              <w:rPr>
                <w:rFonts w:ascii="Arial" w:hAnsi="Arial" w:cs="Arial"/>
                <w:sz w:val="20"/>
                <w:szCs w:val="20"/>
              </w:rPr>
              <w:t>limite à apresentação de iniciativas consagrado no</w:t>
            </w:r>
            <w:r w:rsidR="00D94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2EC">
              <w:rPr>
                <w:rFonts w:ascii="Arial" w:hAnsi="Arial" w:cs="Arial"/>
                <w:sz w:val="20"/>
                <w:szCs w:val="20"/>
              </w:rPr>
              <w:t>n.º 2 do artigo 167.º da Constituição e no n.º 2 do</w:t>
            </w:r>
            <w:r w:rsidR="00D946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2EC">
              <w:rPr>
                <w:rFonts w:ascii="Arial" w:hAnsi="Arial" w:cs="Arial"/>
                <w:sz w:val="20"/>
                <w:szCs w:val="20"/>
              </w:rPr>
              <w:t>artigo 120.º do Regimento, conhecido como “lei</w:t>
            </w:r>
            <w:r w:rsidR="00D94616">
              <w:rPr>
                <w:rFonts w:ascii="Arial" w:hAnsi="Arial" w:cs="Arial"/>
                <w:sz w:val="20"/>
                <w:szCs w:val="20"/>
              </w:rPr>
              <w:t>-</w:t>
            </w:r>
            <w:r w:rsidRPr="00D722EC">
              <w:rPr>
                <w:rFonts w:ascii="Arial" w:hAnsi="Arial" w:cs="Arial"/>
                <w:sz w:val="20"/>
                <w:szCs w:val="20"/>
              </w:rPr>
              <w:t xml:space="preserve">travão”. </w:t>
            </w:r>
          </w:p>
        </w:tc>
      </w:tr>
      <w:tr w:rsidR="00E67ECD" w14:paraId="76F08285" w14:textId="77777777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5DBF83" w14:textId="77777777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B0B9" w14:textId="77777777" w:rsidR="00AF245C" w:rsidRPr="00AF245C" w:rsidRDefault="00FD5C5F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14:paraId="0B11D94A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C15F1" w14:textId="77777777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7726823" w14:textId="77777777" w:rsidR="00942A82" w:rsidRPr="00E62B3C" w:rsidRDefault="00FF386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011429D7" w14:textId="77777777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C9A5CD" w14:textId="77777777"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EA92F9" w14:textId="77777777" w:rsidR="00A04AB2" w:rsidRDefault="00E33E75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02152AB6" w14:textId="77777777" w:rsidR="008A5B3C" w:rsidRDefault="008A5B3C" w:rsidP="008A5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B3C">
              <w:rPr>
                <w:rFonts w:ascii="Arial" w:hAnsi="Arial" w:cs="Arial"/>
                <w:sz w:val="20"/>
                <w:szCs w:val="20"/>
              </w:rPr>
              <w:t xml:space="preserve">O proponente solicita o agendamento da iniciativa, para a reunião plenária de dia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8A5B3C">
              <w:rPr>
                <w:rFonts w:ascii="Arial" w:hAnsi="Arial" w:cs="Arial"/>
                <w:sz w:val="20"/>
                <w:szCs w:val="20"/>
              </w:rPr>
              <w:t xml:space="preserve"> de abril, para discussão conjunta com o Projeto de Lei n.º 658/XIV/2ª (P</w:t>
            </w:r>
            <w:r>
              <w:rPr>
                <w:rFonts w:ascii="Arial" w:hAnsi="Arial" w:cs="Arial"/>
                <w:sz w:val="20"/>
                <w:szCs w:val="20"/>
              </w:rPr>
              <w:t>CP</w:t>
            </w:r>
            <w:r w:rsidRPr="008A5B3C">
              <w:rPr>
                <w:rFonts w:ascii="Arial" w:hAnsi="Arial" w:cs="Arial"/>
                <w:sz w:val="20"/>
                <w:szCs w:val="20"/>
              </w:rPr>
              <w:t>), sobre a mesma matéria.</w:t>
            </w:r>
          </w:p>
        </w:tc>
      </w:tr>
      <w:tr w:rsidR="00E62B3C" w14:paraId="5E352457" w14:textId="77777777" w:rsidTr="00B035D3">
        <w:trPr>
          <w:trHeight w:val="64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D95C68A" w14:textId="77777777"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75EE9E20" w14:textId="77777777" w:rsidR="007B5927" w:rsidRPr="00B035D3" w:rsidRDefault="008A5B3C" w:rsidP="00B035D3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Educação, Ciência, Juventude e Desporto (8.ª)</w:t>
                </w:r>
              </w:p>
            </w:sdtContent>
          </w:sdt>
        </w:tc>
      </w:tr>
      <w:tr w:rsidR="00942A82" w14:paraId="1996555C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FFB0B" w14:textId="594D80C3" w:rsidR="00807945" w:rsidRDefault="00807945" w:rsidP="00807945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Observações: </w:t>
            </w:r>
          </w:p>
          <w:p w14:paraId="0D518F3C" w14:textId="77777777" w:rsidR="00926F51" w:rsidRDefault="00926F51" w:rsidP="00807945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5B0E9BE0" w14:textId="5BE03228" w:rsidR="00807945" w:rsidRDefault="00C0693B" w:rsidP="00C0693B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presente iniciativa</w:t>
            </w:r>
            <w:r w:rsidR="005A13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693B">
              <w:rPr>
                <w:rFonts w:ascii="Arial" w:hAnsi="Arial" w:cs="Arial"/>
                <w:bCs/>
                <w:sz w:val="20"/>
                <w:szCs w:val="20"/>
              </w:rPr>
              <w:t>determina a abertura de um processo negocial com as estruturas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693B">
              <w:rPr>
                <w:rFonts w:ascii="Arial" w:hAnsi="Arial" w:cs="Arial"/>
                <w:bCs/>
                <w:sz w:val="20"/>
                <w:szCs w:val="20"/>
              </w:rPr>
              <w:t>sindicais para a revisão do regime de recrutamento e mobilidade do pessoal docente dos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693B">
              <w:rPr>
                <w:rFonts w:ascii="Arial" w:hAnsi="Arial" w:cs="Arial"/>
                <w:bCs/>
                <w:sz w:val="20"/>
                <w:szCs w:val="20"/>
              </w:rPr>
              <w:t>ensinos básico e secundário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(artigo 1.º), determinando, no seu artigo 2.º, que </w:t>
            </w:r>
            <w:r w:rsidR="000A7097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5A1318" w:rsidRPr="00C0693B">
              <w:rPr>
                <w:rFonts w:ascii="Arial" w:hAnsi="Arial" w:cs="Arial"/>
                <w:bCs/>
                <w:sz w:val="20"/>
                <w:szCs w:val="20"/>
              </w:rPr>
              <w:t xml:space="preserve">no prazo de 30 dias, o Governo inicia </w:t>
            </w:r>
            <w:r w:rsidR="005A1318" w:rsidRPr="00C0693B">
              <w:rPr>
                <w:rFonts w:ascii="Arial" w:hAnsi="Arial" w:cs="Arial"/>
                <w:bCs/>
                <w:sz w:val="20"/>
                <w:szCs w:val="20"/>
              </w:rPr>
              <w:lastRenderedPageBreak/>
              <w:t>negociação com as estruturas sindicais para a revisão do regime de recrutamento e mobilidade do pessoal docente dos ensinos básico e secundário (…)</w:t>
            </w:r>
            <w:r w:rsidR="000A7097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14:paraId="746A3E0A" w14:textId="77777777" w:rsidR="008F5D21" w:rsidRDefault="008F5D21" w:rsidP="002C0A1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5A4E5" w14:textId="752A1302" w:rsidR="00C0693B" w:rsidRDefault="003554A8" w:rsidP="002C0A1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 norma</w:t>
            </w:r>
            <w:r w:rsidR="00C0693B">
              <w:rPr>
                <w:rFonts w:ascii="Arial" w:hAnsi="Arial" w:cs="Arial"/>
                <w:bCs/>
                <w:sz w:val="20"/>
                <w:szCs w:val="20"/>
              </w:rPr>
              <w:t xml:space="preserve">, que parece </w:t>
            </w:r>
            <w:r w:rsidR="0070063C">
              <w:rPr>
                <w:rFonts w:ascii="Arial" w:hAnsi="Arial" w:cs="Arial"/>
                <w:bCs/>
                <w:sz w:val="20"/>
                <w:szCs w:val="20"/>
              </w:rPr>
              <w:t>conte</w:t>
            </w:r>
            <w:r w:rsidR="00C0693B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70063C">
              <w:rPr>
                <w:rFonts w:ascii="Arial" w:hAnsi="Arial" w:cs="Arial"/>
                <w:bCs/>
                <w:sz w:val="20"/>
                <w:szCs w:val="20"/>
              </w:rPr>
              <w:t xml:space="preserve"> uma </w:t>
            </w:r>
            <w:r w:rsidR="002F5B6F">
              <w:rPr>
                <w:rFonts w:ascii="Arial" w:hAnsi="Arial" w:cs="Arial"/>
                <w:bCs/>
                <w:sz w:val="20"/>
                <w:szCs w:val="20"/>
              </w:rPr>
              <w:t>injunção de caráter juridicamente vinculativo</w:t>
            </w:r>
            <w:r w:rsidR="0070063C">
              <w:rPr>
                <w:rFonts w:ascii="Arial" w:hAnsi="Arial" w:cs="Arial"/>
                <w:bCs/>
                <w:sz w:val="20"/>
                <w:szCs w:val="20"/>
              </w:rPr>
              <w:t xml:space="preserve"> dirigida ao Governo</w:t>
            </w:r>
            <w:r w:rsidR="002F5B6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0693B">
              <w:rPr>
                <w:rFonts w:ascii="Arial" w:hAnsi="Arial" w:cs="Arial"/>
                <w:bCs/>
                <w:sz w:val="20"/>
                <w:szCs w:val="20"/>
              </w:rPr>
              <w:t xml:space="preserve">poderá suscitar dúvidas relativamente ao respeito pelo </w:t>
            </w:r>
            <w:r w:rsidR="00C0693B" w:rsidRPr="008F5D21">
              <w:rPr>
                <w:rFonts w:ascii="Arial" w:hAnsi="Arial" w:cs="Arial"/>
                <w:bCs/>
                <w:sz w:val="20"/>
                <w:szCs w:val="20"/>
              </w:rPr>
              <w:t>princípio da separação de poderes, subjacente ao princípio do Estado de direito democrático e previsto nos artigos 2.º e 111.º da Constituição.</w:t>
            </w:r>
          </w:p>
          <w:p w14:paraId="47BC3D57" w14:textId="1B8A1DC1" w:rsidR="00BC6AB5" w:rsidRDefault="00BC6AB5" w:rsidP="002F5B6F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687107ED" w14:textId="5ED86C20" w:rsidR="00463220" w:rsidRDefault="00BC6AB5" w:rsidP="002F5B6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AB5">
              <w:rPr>
                <w:rFonts w:ascii="Arial" w:hAnsi="Arial" w:cs="Arial"/>
                <w:bCs/>
                <w:sz w:val="20"/>
                <w:szCs w:val="20"/>
              </w:rPr>
              <w:t xml:space="preserve">Com efeito, 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 xml:space="preserve">o início de um processo negocial com as estruturas sindicais parece ser </w:t>
            </w:r>
            <w:r w:rsidR="003C7032" w:rsidRPr="003C7032">
              <w:rPr>
                <w:rFonts w:ascii="Arial" w:hAnsi="Arial" w:cs="Arial"/>
                <w:bCs/>
                <w:sz w:val="20"/>
                <w:szCs w:val="20"/>
              </w:rPr>
              <w:t>um ato de natureza administrativa</w:t>
            </w:r>
            <w:r w:rsidR="003C7032" w:rsidRP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C7032" w:rsidRPr="003C7032">
              <w:rPr>
                <w:rFonts w:ascii="Arial" w:hAnsi="Arial" w:cs="Arial"/>
                <w:bCs/>
                <w:sz w:val="20"/>
                <w:szCs w:val="20"/>
              </w:rPr>
              <w:t>que envolve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 xml:space="preserve"> uma margem de discricionariedade ou</w:t>
            </w:r>
            <w:r w:rsidR="003C7032" w:rsidRPr="003C70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3C7032" w:rsidRPr="003C7032">
              <w:rPr>
                <w:rFonts w:ascii="Arial" w:hAnsi="Arial" w:cs="Arial"/>
                <w:bCs/>
                <w:sz w:val="20"/>
                <w:szCs w:val="20"/>
              </w:rPr>
              <w:t>juízo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7032" w:rsidRPr="003C7032">
              <w:rPr>
                <w:rFonts w:ascii="Arial" w:hAnsi="Arial" w:cs="Arial"/>
                <w:bCs/>
                <w:sz w:val="20"/>
                <w:szCs w:val="20"/>
              </w:rPr>
              <w:t>de oportunidade</w:t>
            </w:r>
            <w:r w:rsidR="003C70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C7032" w:rsidRPr="00BC6AB5">
              <w:rPr>
                <w:rFonts w:ascii="Arial" w:hAnsi="Arial" w:cs="Arial"/>
                <w:bCs/>
                <w:sz w:val="20"/>
                <w:szCs w:val="20"/>
              </w:rPr>
              <w:t>por parte</w:t>
            </w:r>
            <w:r w:rsidR="003C70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>do órgão de soberania que o pratica.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5F6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fixação de um prazo 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 xml:space="preserve">vinculativo 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 xml:space="preserve">para aquele efeito 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>poderá</w:t>
            </w:r>
            <w:r w:rsidR="008B5F6B">
              <w:rPr>
                <w:rFonts w:ascii="Arial" w:hAnsi="Arial" w:cs="Arial"/>
                <w:bCs/>
                <w:sz w:val="20"/>
                <w:szCs w:val="20"/>
              </w:rPr>
              <w:t>, assim,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 xml:space="preserve"> ser suscetível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interferir com 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>a autonomia do Governo 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exercício da 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 xml:space="preserve">sua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competência administrativ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>a (artigo 199.º da Constituição)</w:t>
            </w:r>
            <w:r w:rsidR="003C703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632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E2846C6" w14:textId="7A3008BF" w:rsidR="00C0693B" w:rsidRDefault="00C0693B" w:rsidP="002F5B6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A7BF47" w14:textId="3004FA74" w:rsidR="003554A8" w:rsidRDefault="008B5F6B" w:rsidP="006A467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Neste sentido, </w:t>
            </w:r>
            <w:r w:rsidR="006A4671" w:rsidRPr="006A4671">
              <w:rPr>
                <w:rFonts w:ascii="Arial" w:hAnsi="Arial" w:cs="Arial"/>
                <w:bCs/>
                <w:sz w:val="20"/>
                <w:szCs w:val="20"/>
              </w:rPr>
              <w:t>Gomes Canotilho e Vital Moreira</w:t>
            </w:r>
            <w:r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escrevem que</w:t>
            </w:r>
            <w:r w:rsidR="006A4671" w:rsidRPr="006A46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467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6A4671" w:rsidRPr="006A4671">
              <w:rPr>
                <w:rFonts w:ascii="Arial" w:hAnsi="Arial" w:cs="Arial"/>
                <w:bCs/>
                <w:sz w:val="20"/>
                <w:szCs w:val="20"/>
              </w:rPr>
              <w:t>as relações do Governo com a Assembleia da República são relações de autonomia e de prestação de contas e de responsabilidade; não são relações de subordinação hierárquica ou de superintendência, pelo que não pode o Governo ser vinculado a exercer o seu poder regulamentar (ou legislativo) por instruções ou injunções da Assembleia 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4671" w:rsidRPr="006A4671">
              <w:rPr>
                <w:rFonts w:ascii="Arial" w:hAnsi="Arial" w:cs="Arial"/>
                <w:bCs/>
                <w:sz w:val="20"/>
                <w:szCs w:val="20"/>
              </w:rPr>
              <w:t>República</w:t>
            </w:r>
            <w:r w:rsidR="006A4671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="006A4671" w:rsidRPr="006A46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0757DAB" w14:textId="7662DF49" w:rsidR="006A4671" w:rsidRDefault="006A4671" w:rsidP="006A467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14361E" w14:textId="5D6DF604" w:rsidR="006A4671" w:rsidRPr="006A4671" w:rsidRDefault="006A4671" w:rsidP="006A467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671">
              <w:rPr>
                <w:rFonts w:ascii="Arial" w:hAnsi="Arial" w:cs="Arial"/>
                <w:bCs/>
                <w:sz w:val="20"/>
                <w:szCs w:val="20"/>
              </w:rPr>
              <w:t xml:space="preserve">Sobre questão semelhante </w:t>
            </w:r>
            <w:r w:rsidR="008B5F6B">
              <w:rPr>
                <w:rFonts w:ascii="Arial" w:hAnsi="Arial" w:cs="Arial"/>
                <w:bCs/>
                <w:sz w:val="20"/>
                <w:szCs w:val="20"/>
              </w:rPr>
              <w:t xml:space="preserve">à colocada pela presente iniciativa 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 xml:space="preserve">incidiu o </w:t>
            </w:r>
            <w:hyperlink r:id="rId8" w:history="1">
              <w:r w:rsidRPr="006A4671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Acórdão do Tribunal Constitucional n.º 214/2011</w:t>
              </w:r>
            </w:hyperlink>
            <w:r w:rsidR="00771EAB">
              <w:rPr>
                <w:rStyle w:val="Refdenotaderodap"/>
                <w:rFonts w:ascii="Arial" w:hAnsi="Arial" w:cs="Arial"/>
                <w:bCs/>
                <w:color w:val="0563C1" w:themeColor="hyperlink"/>
                <w:sz w:val="20"/>
                <w:szCs w:val="20"/>
                <w:u w:val="single"/>
              </w:rPr>
              <w:footnoteReference w:id="2"/>
            </w:r>
            <w:r w:rsidR="000E509A">
              <w:rPr>
                <w:rStyle w:val="Refdenotaderodap"/>
                <w:rFonts w:ascii="Arial" w:hAnsi="Arial" w:cs="Arial"/>
                <w:bCs/>
                <w:sz w:val="20"/>
                <w:szCs w:val="20"/>
              </w:rPr>
              <w:footnoteReference w:id="3"/>
            </w:r>
            <w:r w:rsidR="000E509A">
              <w:rPr>
                <w:rFonts w:ascii="Arial" w:hAnsi="Arial" w:cs="Arial"/>
                <w:bCs/>
                <w:sz w:val="20"/>
                <w:szCs w:val="20"/>
              </w:rPr>
              <w:t xml:space="preserve">, onde </w:t>
            </w:r>
            <w:r w:rsidR="008B5F6B">
              <w:rPr>
                <w:rFonts w:ascii="Arial" w:hAnsi="Arial" w:cs="Arial"/>
                <w:bCs/>
                <w:sz w:val="20"/>
                <w:szCs w:val="20"/>
              </w:rPr>
              <w:t>se refere</w:t>
            </w:r>
            <w:r w:rsidR="000E509A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926F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474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004743" w:rsidRP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início de um procedimento negocial é matéria de natureza administrativa uma vez que envolve juízos de mérito e de oportunidade</w:t>
            </w:r>
            <w:r w:rsid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04743" w:rsidRPr="008B5F6B">
              <w:rPr>
                <w:rFonts w:ascii="Arial" w:hAnsi="Arial" w:cs="Arial"/>
                <w:bCs/>
                <w:sz w:val="20"/>
                <w:szCs w:val="20"/>
              </w:rPr>
              <w:t>(…)</w:t>
            </w:r>
            <w:r w:rsidR="000E509A">
              <w:rPr>
                <w:rFonts w:ascii="Arial" w:hAnsi="Arial" w:cs="Arial"/>
                <w:bCs/>
                <w:sz w:val="20"/>
                <w:szCs w:val="20"/>
              </w:rPr>
              <w:t>» e que</w:t>
            </w:r>
            <w:r w:rsid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E509A" w:rsidRPr="000E509A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 decisão sobre o se e o quando da iniciativa de desencadear negociações com vista à alteração do ordenamento - com as associações sindicais ou com outros portadores de interesses que devam participar - é uma opção política que um órgão de soberania não pode impor ao outro, mesmo nos espaços onde ambos concorram no poder de regulação emergente, seja este </w:t>
            </w:r>
            <w:proofErr w:type="spellStart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equiordenado</w:t>
            </w:r>
            <w:proofErr w:type="spellEnd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(lei-decreto-lei) seja escalonado (</w:t>
            </w:r>
            <w:proofErr w:type="spellStart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acto</w:t>
            </w:r>
            <w:proofErr w:type="spellEnd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legislativo-</w:t>
            </w:r>
            <w:proofErr w:type="spellStart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acto</w:t>
            </w:r>
            <w:proofErr w:type="spellEnd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regulamentar).</w:t>
            </w:r>
            <w:r w:rsidR="000E509A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58A37D52" w14:textId="77777777" w:rsidR="00D0333C" w:rsidRDefault="00D0333C" w:rsidP="0080794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6"/>
            </w:tblGrid>
            <w:tr w:rsidR="00807945" w14:paraId="42518D4D" w14:textId="77777777" w:rsidTr="00807945">
              <w:trPr>
                <w:trHeight w:val="754"/>
              </w:trPr>
              <w:tc>
                <w:tcPr>
                  <w:tcW w:w="88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B8D4E" w14:textId="6DDD6792" w:rsidR="00807945" w:rsidRDefault="008B5F6B" w:rsidP="00807945">
                  <w:pPr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De acordo com</w:t>
                  </w:r>
                  <w:r w:rsidR="00807945"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 xml:space="preserve"> o disposto no artigo 120.º do Regimento, não são admitidos projetos e propostas de lei ou propostas de alteração que infrinjam a Constituição ou os princípios nela consignados. </w:t>
                  </w:r>
                </w:p>
                <w:p w14:paraId="6571D4BD" w14:textId="19FC0D19" w:rsidR="00BC6AB5" w:rsidRPr="000E509A" w:rsidRDefault="00807945" w:rsidP="000E509A">
                  <w:pPr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Competindo aos serviços da A</w:t>
                  </w:r>
                  <w:r w:rsidR="00004743"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 xml:space="preserve">ssembleia da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R</w:t>
                  </w:r>
                  <w:r w:rsidR="00004743"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epública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 xml:space="preserve"> fornecer a informação necessária para apoiar a tomada de decisões, assinalamos que, apesar de </w:t>
                  </w:r>
                  <w:r w:rsidR="000E509A"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 xml:space="preserve">a referida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norma deste projeto de lei nos suscita</w:t>
                  </w:r>
                  <w:r w:rsidR="000E509A"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r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 xml:space="preserve"> dúvidas jurídicas sobre a sua constitucionalidade,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as mesmas são suscetíveis de serem eliminadas ou corrigidas em sede de discussão na especialidade.</w:t>
                  </w:r>
                </w:p>
                <w:p w14:paraId="3D38ACFF" w14:textId="42629D51" w:rsidR="00BC6AB5" w:rsidRDefault="00BC6AB5" w:rsidP="00807945">
                  <w:pPr>
                    <w:spacing w:line="276" w:lineRule="auto"/>
                    <w:ind w:left="-75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DA69492" w14:textId="77777777" w:rsidR="00807945" w:rsidRDefault="00807945" w:rsidP="00626C8C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0A9E7777" w14:textId="69669566" w:rsidR="00626C8C" w:rsidRPr="00626C8C" w:rsidRDefault="00626C8C" w:rsidP="00626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C8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Conclusão:</w:t>
            </w:r>
            <w:r w:rsidRPr="00626C8C">
              <w:rPr>
                <w:rFonts w:ascii="Arial" w:hAnsi="Arial" w:cs="Arial"/>
                <w:sz w:val="20"/>
                <w:szCs w:val="20"/>
              </w:rPr>
              <w:t xml:space="preserve"> A apresentação desta iniciativa parece </w:t>
            </w:r>
            <w:r w:rsidRPr="00626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cumprir </w:t>
            </w:r>
            <w:r w:rsidRPr="00626C8C">
              <w:rPr>
                <w:rFonts w:ascii="Arial" w:hAnsi="Arial" w:cs="Arial"/>
                <w:sz w:val="20"/>
                <w:szCs w:val="20"/>
              </w:rPr>
              <w:t>os requisitos formais de admissibilidade previstos na Constituição e no Regimento da Assembleia da República</w:t>
            </w:r>
            <w:r w:rsidR="00004743">
              <w:rPr>
                <w:rFonts w:ascii="Arial" w:hAnsi="Arial" w:cs="Arial"/>
                <w:sz w:val="20"/>
                <w:szCs w:val="20"/>
              </w:rPr>
              <w:t>, embora com as reservas assinaladas</w:t>
            </w:r>
            <w:r w:rsidRPr="00626C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59BC36" w14:textId="77777777" w:rsidR="00942A82" w:rsidRPr="00626C8C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57A12" w14:textId="77777777" w:rsidR="003F64FE" w:rsidRDefault="003F64FE" w:rsidP="0027343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538E199" w14:textId="77777777" w:rsidR="00273433" w:rsidRDefault="0089376B" w:rsidP="0027343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D51306">
        <w:rPr>
          <w:rFonts w:ascii="Arial" w:hAnsi="Arial" w:cs="Arial"/>
          <w:sz w:val="20"/>
          <w:szCs w:val="20"/>
        </w:rPr>
        <w:t xml:space="preserve"> </w:t>
      </w:r>
      <w:r w:rsidR="008A5B3C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  <w:r w:rsidR="00E33E75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807945">
        <w:rPr>
          <w:rFonts w:ascii="Arial" w:hAnsi="Arial" w:cs="Arial"/>
          <w:sz w:val="20"/>
          <w:szCs w:val="20"/>
        </w:rPr>
        <w:t>març</w:t>
      </w:r>
      <w:r w:rsidR="00D5163C">
        <w:rPr>
          <w:rFonts w:ascii="Arial" w:hAnsi="Arial" w:cs="Arial"/>
          <w:sz w:val="20"/>
          <w:szCs w:val="20"/>
        </w:rPr>
        <w:t>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FF386C">
        <w:rPr>
          <w:rFonts w:ascii="Arial" w:hAnsi="Arial" w:cs="Arial"/>
          <w:sz w:val="20"/>
          <w:szCs w:val="20"/>
        </w:rPr>
        <w:t>1</w:t>
      </w:r>
    </w:p>
    <w:p w14:paraId="52339B59" w14:textId="77777777" w:rsidR="003F64FE" w:rsidRDefault="003F64FE" w:rsidP="0027343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0DB8D56" w14:textId="77777777"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A5B3C">
        <w:rPr>
          <w:rFonts w:ascii="Arial" w:hAnsi="Arial" w:cs="Arial"/>
          <w:sz w:val="20"/>
          <w:szCs w:val="20"/>
        </w:rPr>
        <w:t>s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8A5B3C">
        <w:rPr>
          <w:rFonts w:ascii="Arial" w:hAnsi="Arial" w:cs="Arial"/>
          <w:sz w:val="20"/>
          <w:szCs w:val="20"/>
        </w:rPr>
        <w:t>s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8A5B3C">
        <w:rPr>
          <w:rFonts w:ascii="Arial" w:hAnsi="Arial" w:cs="Arial"/>
          <w:sz w:val="20"/>
          <w:szCs w:val="20"/>
        </w:rPr>
        <w:t>es,</w:t>
      </w:r>
    </w:p>
    <w:p w14:paraId="21C9D437" w14:textId="77777777" w:rsidR="0089376B" w:rsidRDefault="008A5B3C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 Negrão e </w:t>
      </w:r>
      <w:r w:rsidR="006905A7">
        <w:rPr>
          <w:rFonts w:ascii="Arial" w:hAnsi="Arial" w:cs="Arial"/>
          <w:sz w:val="20"/>
          <w:szCs w:val="20"/>
        </w:rPr>
        <w:t xml:space="preserve">Patrícia Pires 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DD9CE" w14:textId="77777777" w:rsidR="0093259D" w:rsidRDefault="0093259D" w:rsidP="00BF1158">
      <w:r>
        <w:separator/>
      </w:r>
    </w:p>
  </w:endnote>
  <w:endnote w:type="continuationSeparator" w:id="0">
    <w:p w14:paraId="68C40B5D" w14:textId="77777777" w:rsidR="0093259D" w:rsidRDefault="0093259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87C7" w14:textId="77777777" w:rsidR="0093259D" w:rsidRDefault="0093259D" w:rsidP="00BF1158">
      <w:r>
        <w:separator/>
      </w:r>
    </w:p>
  </w:footnote>
  <w:footnote w:type="continuationSeparator" w:id="0">
    <w:p w14:paraId="2DF2670A" w14:textId="77777777" w:rsidR="0093259D" w:rsidRDefault="0093259D" w:rsidP="00BF1158">
      <w:r>
        <w:continuationSeparator/>
      </w:r>
    </w:p>
  </w:footnote>
  <w:footnote w:id="1">
    <w:p w14:paraId="7ACB7632" w14:textId="26548947" w:rsidR="008B5F6B" w:rsidRPr="000E509A" w:rsidRDefault="008B5F6B" w:rsidP="000E509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0E509A">
        <w:rPr>
          <w:rStyle w:val="Refdenotaderodap"/>
          <w:rFonts w:ascii="Arial" w:hAnsi="Arial" w:cs="Arial"/>
          <w:sz w:val="18"/>
          <w:szCs w:val="18"/>
        </w:rPr>
        <w:footnoteRef/>
      </w:r>
      <w:r w:rsidRPr="000E509A">
        <w:rPr>
          <w:rFonts w:ascii="Arial" w:hAnsi="Arial" w:cs="Arial"/>
          <w:sz w:val="18"/>
          <w:szCs w:val="18"/>
        </w:rPr>
        <w:t xml:space="preserve"> </w:t>
      </w:r>
      <w:r w:rsidR="00771EAB" w:rsidRPr="00771EAB">
        <w:rPr>
          <w:rFonts w:ascii="Arial" w:hAnsi="Arial" w:cs="Arial"/>
          <w:sz w:val="18"/>
          <w:szCs w:val="18"/>
        </w:rPr>
        <w:t>CANOTILHO, J.J Gomes e MOREIRA, Vital, Constituição da República Portuguesa Anotada, II vol., 4.ª ed., Coimbra Editora,</w:t>
      </w:r>
      <w:r w:rsidR="00771EAB">
        <w:rPr>
          <w:rFonts w:ascii="Arial" w:hAnsi="Arial" w:cs="Arial"/>
          <w:sz w:val="18"/>
          <w:szCs w:val="18"/>
        </w:rPr>
        <w:t xml:space="preserve"> </w:t>
      </w:r>
      <w:r w:rsidR="00FD5C5F" w:rsidRPr="00FD5C5F">
        <w:rPr>
          <w:rFonts w:ascii="Arial" w:hAnsi="Arial" w:cs="Arial"/>
          <w:sz w:val="18"/>
          <w:szCs w:val="18"/>
        </w:rPr>
        <w:t xml:space="preserve">anotação ao artigo </w:t>
      </w:r>
      <w:r w:rsidR="00771EAB">
        <w:rPr>
          <w:rFonts w:ascii="Arial" w:hAnsi="Arial" w:cs="Arial"/>
          <w:sz w:val="18"/>
          <w:szCs w:val="18"/>
        </w:rPr>
        <w:t>182.º,</w:t>
      </w:r>
      <w:r w:rsidR="00771EAB" w:rsidRPr="00771EAB">
        <w:rPr>
          <w:rFonts w:ascii="Arial" w:hAnsi="Arial" w:cs="Arial"/>
          <w:sz w:val="18"/>
          <w:szCs w:val="18"/>
        </w:rPr>
        <w:t xml:space="preserve"> p. 415</w:t>
      </w:r>
    </w:p>
  </w:footnote>
  <w:footnote w:id="2">
    <w:p w14:paraId="5E83E991" w14:textId="47E1A1C2" w:rsidR="00771EAB" w:rsidRDefault="00771EAB" w:rsidP="00771EAB">
      <w:pPr>
        <w:pStyle w:val="Textodenotaderodap"/>
        <w:tabs>
          <w:tab w:val="left" w:pos="284"/>
        </w:tabs>
        <w:jc w:val="both"/>
      </w:pPr>
      <w:r>
        <w:rPr>
          <w:rStyle w:val="Refdenotaderodap"/>
        </w:rPr>
        <w:footnoteRef/>
      </w:r>
      <w:r w:rsidRPr="00771EAB">
        <w:rPr>
          <w:rFonts w:ascii="Arial" w:hAnsi="Arial" w:cs="Arial"/>
          <w:sz w:val="18"/>
          <w:szCs w:val="18"/>
        </w:rPr>
        <w:t>Acórdão do Tribunal Constitucional n.º 214/2011 &lt;</w:t>
      </w:r>
      <w:proofErr w:type="spellStart"/>
      <w:r w:rsidRPr="00771EAB">
        <w:rPr>
          <w:rFonts w:ascii="Arial" w:hAnsi="Arial" w:cs="Arial"/>
          <w:sz w:val="18"/>
          <w:szCs w:val="18"/>
        </w:rPr>
        <w:t>url</w:t>
      </w:r>
      <w:proofErr w:type="spellEnd"/>
      <w:r w:rsidRPr="00771EAB">
        <w:rPr>
          <w:rFonts w:ascii="Arial" w:hAnsi="Arial" w:cs="Arial"/>
          <w:sz w:val="18"/>
          <w:szCs w:val="18"/>
        </w:rPr>
        <w:t>= https://dre.pt/pesquisa/-/search/287816/details/maximized&gt;</w:t>
      </w:r>
    </w:p>
  </w:footnote>
  <w:footnote w:id="3">
    <w:p w14:paraId="400D5B74" w14:textId="50334290" w:rsidR="000E509A" w:rsidRPr="000E509A" w:rsidRDefault="000E509A" w:rsidP="000E509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0E509A">
        <w:rPr>
          <w:rStyle w:val="Refdenotaderodap"/>
          <w:rFonts w:ascii="Arial" w:hAnsi="Arial" w:cs="Arial"/>
          <w:sz w:val="18"/>
          <w:szCs w:val="18"/>
        </w:rPr>
        <w:footnoteRef/>
      </w:r>
      <w:r w:rsidRPr="000E50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Acórdão</w:t>
      </w:r>
      <w:r w:rsidRPr="000E509A">
        <w:rPr>
          <w:rFonts w:ascii="Arial" w:hAnsi="Arial" w:cs="Arial"/>
          <w:sz w:val="18"/>
          <w:szCs w:val="18"/>
        </w:rPr>
        <w:t xml:space="preserve"> decidiu pela inconstitucionalidade da norma constante do Decreto n.º 84/XI da Assembleia da República, que impunha ao Governo a obrigação de «iniciar o processo de negociação sindical tendente à aprovação do enquadramento legal e regulamentar que concretize um novo modelo de avaliação do desempenho de docentes, produzindo efeitos a partir do início do próximo ano letivo».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0FFB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0CDA3F1" wp14:editId="0C170B2D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7B8EA9F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C0DB8D2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557808B6" w14:textId="77777777" w:rsidR="00BF1158" w:rsidRDefault="00BF1158">
    <w:pPr>
      <w:pStyle w:val="Cabealho"/>
    </w:pPr>
  </w:p>
  <w:p w14:paraId="78F2FF56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04743"/>
    <w:rsid w:val="00046244"/>
    <w:rsid w:val="00055B7D"/>
    <w:rsid w:val="00060178"/>
    <w:rsid w:val="00085FAE"/>
    <w:rsid w:val="00094D16"/>
    <w:rsid w:val="000A7097"/>
    <w:rsid w:val="000E509A"/>
    <w:rsid w:val="00105B49"/>
    <w:rsid w:val="00123E98"/>
    <w:rsid w:val="001328D2"/>
    <w:rsid w:val="00154B99"/>
    <w:rsid w:val="001A181B"/>
    <w:rsid w:val="001A5F9F"/>
    <w:rsid w:val="002048F5"/>
    <w:rsid w:val="002262F8"/>
    <w:rsid w:val="00247C7E"/>
    <w:rsid w:val="00273433"/>
    <w:rsid w:val="002975D0"/>
    <w:rsid w:val="002A0D14"/>
    <w:rsid w:val="002A4F66"/>
    <w:rsid w:val="002C0A15"/>
    <w:rsid w:val="002C7536"/>
    <w:rsid w:val="002D7485"/>
    <w:rsid w:val="002F5B6F"/>
    <w:rsid w:val="00310E1B"/>
    <w:rsid w:val="003554A8"/>
    <w:rsid w:val="003A0ACD"/>
    <w:rsid w:val="003A0ED6"/>
    <w:rsid w:val="003A6D01"/>
    <w:rsid w:val="003B5646"/>
    <w:rsid w:val="003B6323"/>
    <w:rsid w:val="003C7032"/>
    <w:rsid w:val="003D2EF4"/>
    <w:rsid w:val="003D74D7"/>
    <w:rsid w:val="003E50AE"/>
    <w:rsid w:val="003E57EC"/>
    <w:rsid w:val="003F64FE"/>
    <w:rsid w:val="00404F00"/>
    <w:rsid w:val="00406FAC"/>
    <w:rsid w:val="004301C5"/>
    <w:rsid w:val="00463220"/>
    <w:rsid w:val="00486353"/>
    <w:rsid w:val="004E51EF"/>
    <w:rsid w:val="00500FD5"/>
    <w:rsid w:val="00501E38"/>
    <w:rsid w:val="0053745A"/>
    <w:rsid w:val="0054466B"/>
    <w:rsid w:val="00562FBC"/>
    <w:rsid w:val="005934A3"/>
    <w:rsid w:val="005A1318"/>
    <w:rsid w:val="005F224A"/>
    <w:rsid w:val="00600A4B"/>
    <w:rsid w:val="006041AB"/>
    <w:rsid w:val="006057AB"/>
    <w:rsid w:val="00617683"/>
    <w:rsid w:val="00626C8C"/>
    <w:rsid w:val="006514AC"/>
    <w:rsid w:val="00656483"/>
    <w:rsid w:val="00680400"/>
    <w:rsid w:val="00685E50"/>
    <w:rsid w:val="006905A7"/>
    <w:rsid w:val="00694D34"/>
    <w:rsid w:val="006A4671"/>
    <w:rsid w:val="006B796F"/>
    <w:rsid w:val="006C45DC"/>
    <w:rsid w:val="006C7CAE"/>
    <w:rsid w:val="0070063C"/>
    <w:rsid w:val="0072305A"/>
    <w:rsid w:val="00737F0B"/>
    <w:rsid w:val="00737F94"/>
    <w:rsid w:val="0075003B"/>
    <w:rsid w:val="007536DF"/>
    <w:rsid w:val="00771EAB"/>
    <w:rsid w:val="00784314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01E8C"/>
    <w:rsid w:val="00807945"/>
    <w:rsid w:val="00827C29"/>
    <w:rsid w:val="0084548D"/>
    <w:rsid w:val="0085766D"/>
    <w:rsid w:val="008727B7"/>
    <w:rsid w:val="00890B42"/>
    <w:rsid w:val="0089376B"/>
    <w:rsid w:val="008A2E11"/>
    <w:rsid w:val="008A5B3C"/>
    <w:rsid w:val="008B5F6B"/>
    <w:rsid w:val="008C0E46"/>
    <w:rsid w:val="008D5F78"/>
    <w:rsid w:val="008F5D21"/>
    <w:rsid w:val="008F7B18"/>
    <w:rsid w:val="0091704B"/>
    <w:rsid w:val="00923A38"/>
    <w:rsid w:val="00926F51"/>
    <w:rsid w:val="0093259D"/>
    <w:rsid w:val="0094242E"/>
    <w:rsid w:val="00942A82"/>
    <w:rsid w:val="00954A64"/>
    <w:rsid w:val="00973F29"/>
    <w:rsid w:val="00975DE0"/>
    <w:rsid w:val="009B02CE"/>
    <w:rsid w:val="009E700D"/>
    <w:rsid w:val="009F3765"/>
    <w:rsid w:val="00A04AB2"/>
    <w:rsid w:val="00A078FA"/>
    <w:rsid w:val="00A10400"/>
    <w:rsid w:val="00AB0CA6"/>
    <w:rsid w:val="00AF245C"/>
    <w:rsid w:val="00B035D3"/>
    <w:rsid w:val="00B27689"/>
    <w:rsid w:val="00B7386A"/>
    <w:rsid w:val="00B86590"/>
    <w:rsid w:val="00BC1E89"/>
    <w:rsid w:val="00BC6AB5"/>
    <w:rsid w:val="00BF1158"/>
    <w:rsid w:val="00C001BA"/>
    <w:rsid w:val="00C00F4B"/>
    <w:rsid w:val="00C0693B"/>
    <w:rsid w:val="00C131B0"/>
    <w:rsid w:val="00C53A8A"/>
    <w:rsid w:val="00CE0C78"/>
    <w:rsid w:val="00D0333C"/>
    <w:rsid w:val="00D51306"/>
    <w:rsid w:val="00D5163C"/>
    <w:rsid w:val="00D516A2"/>
    <w:rsid w:val="00D6197E"/>
    <w:rsid w:val="00D66A41"/>
    <w:rsid w:val="00D70FC7"/>
    <w:rsid w:val="00D722EC"/>
    <w:rsid w:val="00D80ADC"/>
    <w:rsid w:val="00D85925"/>
    <w:rsid w:val="00D91C1B"/>
    <w:rsid w:val="00D93069"/>
    <w:rsid w:val="00D94616"/>
    <w:rsid w:val="00DC5951"/>
    <w:rsid w:val="00DE1D1C"/>
    <w:rsid w:val="00DF0FC2"/>
    <w:rsid w:val="00E050F2"/>
    <w:rsid w:val="00E33E75"/>
    <w:rsid w:val="00E576AA"/>
    <w:rsid w:val="00E62B3C"/>
    <w:rsid w:val="00E67ECD"/>
    <w:rsid w:val="00E74E2C"/>
    <w:rsid w:val="00E77EE3"/>
    <w:rsid w:val="00E87C55"/>
    <w:rsid w:val="00EA1222"/>
    <w:rsid w:val="00ED3116"/>
    <w:rsid w:val="00EF2084"/>
    <w:rsid w:val="00EF7AD5"/>
    <w:rsid w:val="00F0094B"/>
    <w:rsid w:val="00F3584B"/>
    <w:rsid w:val="00F37A7E"/>
    <w:rsid w:val="00F42A58"/>
    <w:rsid w:val="00F623A0"/>
    <w:rsid w:val="00F83752"/>
    <w:rsid w:val="00FD5C5F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57A27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26C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26C8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26C8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C0A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0A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0A1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0A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0A1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pesquisa/-/search/287816/details/maximize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10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96836"/>
    <w:rsid w:val="003A48B7"/>
    <w:rsid w:val="003A7AC7"/>
    <w:rsid w:val="003C29DD"/>
    <w:rsid w:val="00460AC4"/>
    <w:rsid w:val="004C1B73"/>
    <w:rsid w:val="004E1B08"/>
    <w:rsid w:val="004E21EF"/>
    <w:rsid w:val="00520C41"/>
    <w:rsid w:val="006731FD"/>
    <w:rsid w:val="00691EC4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CE3AA8"/>
    <w:rsid w:val="00D74ABD"/>
    <w:rsid w:val="00DC4AD6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2021-03-29T23:00:00+00:00</DataDocumento>
    <IDFase xmlns="2e97e158-1a31-4bff-9a0a-f8ebffd34ea8">1232589</IDFase>
    <IDIniciativa xmlns="2e97e158-1a31-4bff-9a0a-f8ebffd34ea8">110585</IDIniciativa>
    <TipoDocumento xmlns="2e97e158-1a31-4bff-9a0a-f8ebffd34ea8">Notas Admissibilidade</TipoDocumento>
    <NomeOriginalFicheiro xmlns="2e97e158-1a31-4bff-9a0a-f8ebffd34ea8">NA PJL 761-XIV-2 (BE).docx</NomeOriginalFicheiro>
    <NROrdem xmlns="2e97e158-1a31-4bff-9a0a-f8ebffd34ea8">1</NROrdem>
    <PublicarInternet xmlns="2e97e158-1a31-4bff-9a0a-f8ebffd34ea8">true</PublicarInternet>
    <NRIniciativa xmlns="2e97e158-1a31-4bff-9a0a-f8ebffd34ea8">761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C3EAEFA-B3F4-4B42-9628-7B7306B5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EEC40-9C7D-4A9C-A25A-F5E26570A25D}"/>
</file>

<file path=customXml/itemProps3.xml><?xml version="1.0" encoding="utf-8"?>
<ds:datastoreItem xmlns:ds="http://schemas.openxmlformats.org/officeDocument/2006/customXml" ds:itemID="{1E5691DD-88E3-440B-9C17-F1126F9E67A3}"/>
</file>

<file path=customXml/itemProps4.xml><?xml version="1.0" encoding="utf-8"?>
<ds:datastoreItem xmlns:ds="http://schemas.openxmlformats.org/officeDocument/2006/customXml" ds:itemID="{0B027B95-7B1E-4A05-A365-13F8D271D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3</cp:revision>
  <dcterms:created xsi:type="dcterms:W3CDTF">2021-03-29T14:56:00Z</dcterms:created>
  <dcterms:modified xsi:type="dcterms:W3CDTF">2021-03-29T14:57:00Z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515400</vt:r8>
  </property>
</Properties>
</file>