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3C26" w14:textId="2389E881" w:rsidR="00BA76C2" w:rsidRPr="00464BAA" w:rsidRDefault="00BA76C2" w:rsidP="00BA76C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4BAA">
        <w:rPr>
          <w:rFonts w:ascii="Arial" w:eastAsia="Times New Roman" w:hAnsi="Arial" w:cs="Arial"/>
          <w:sz w:val="24"/>
          <w:szCs w:val="24"/>
        </w:rPr>
        <w:t>Projeto de Resolução</w:t>
      </w:r>
      <w:r w:rsidR="00D5301E">
        <w:rPr>
          <w:rFonts w:ascii="Arial" w:eastAsia="Times New Roman" w:hAnsi="Arial" w:cs="Arial"/>
          <w:sz w:val="24"/>
          <w:szCs w:val="24"/>
        </w:rPr>
        <w:t xml:space="preserve"> n.º 805/XIV/2.ª</w:t>
      </w:r>
      <w:bookmarkStart w:id="0" w:name="_GoBack"/>
      <w:bookmarkEnd w:id="0"/>
    </w:p>
    <w:p w14:paraId="66CBF320" w14:textId="1075D70A" w:rsidR="00BA76C2" w:rsidRPr="00464BAA" w:rsidRDefault="00BA76C2" w:rsidP="00BA76C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64BAA">
        <w:rPr>
          <w:rFonts w:ascii="Arial" w:eastAsia="Times New Roman" w:hAnsi="Arial" w:cs="Arial"/>
          <w:b/>
          <w:bCs/>
          <w:sz w:val="24"/>
          <w:szCs w:val="24"/>
        </w:rPr>
        <w:t xml:space="preserve">Criação </w:t>
      </w:r>
      <w:r w:rsidRPr="00464B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do Estatuto do A</w:t>
      </w:r>
      <w:r w:rsidR="0056240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rtista </w:t>
      </w:r>
      <w:r w:rsidRPr="00464B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Estudante</w:t>
      </w:r>
      <w:r w:rsidR="0056240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no Ensino Superior</w:t>
      </w:r>
    </w:p>
    <w:p w14:paraId="320EF4C9" w14:textId="77777777" w:rsidR="00BA76C2" w:rsidRPr="00464BAA" w:rsidRDefault="00BA76C2" w:rsidP="167710B7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A30E98" w14:textId="6B768851" w:rsidR="009D0F06" w:rsidRPr="00464BAA" w:rsidRDefault="167710B7" w:rsidP="00BA76C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464BAA">
        <w:rPr>
          <w:rFonts w:ascii="Arial" w:eastAsia="Times New Roman" w:hAnsi="Arial" w:cs="Arial"/>
          <w:b/>
          <w:bCs/>
        </w:rPr>
        <w:t>Exposição de Motivos</w:t>
      </w:r>
    </w:p>
    <w:p w14:paraId="6C2A25FD" w14:textId="05A3A2BB" w:rsidR="009D0F06" w:rsidRPr="00464BAA" w:rsidRDefault="167710B7" w:rsidP="167710B7">
      <w:pPr>
        <w:spacing w:line="360" w:lineRule="auto"/>
        <w:jc w:val="both"/>
        <w:rPr>
          <w:rFonts w:ascii="Arial" w:eastAsia="Times New Roman" w:hAnsi="Arial" w:cs="Arial"/>
        </w:rPr>
      </w:pPr>
      <w:r w:rsidRPr="00464BAA">
        <w:rPr>
          <w:rFonts w:ascii="Arial" w:eastAsia="Times New Roman" w:hAnsi="Arial" w:cs="Arial"/>
        </w:rPr>
        <w:t xml:space="preserve">A Cultura é a pedra basilar de um país, o que o caracteriza e distingue dos demais. </w:t>
      </w:r>
    </w:p>
    <w:p w14:paraId="22683010" w14:textId="5BB71387" w:rsidR="009D0F06" w:rsidRPr="00464BAA" w:rsidRDefault="167710B7" w:rsidP="167710B7">
      <w:pPr>
        <w:spacing w:line="360" w:lineRule="auto"/>
        <w:jc w:val="both"/>
        <w:rPr>
          <w:rFonts w:ascii="Arial" w:eastAsia="Times New Roman" w:hAnsi="Arial" w:cs="Arial"/>
        </w:rPr>
      </w:pPr>
      <w:r w:rsidRPr="00464BAA">
        <w:rPr>
          <w:rFonts w:ascii="Arial" w:eastAsia="Times New Roman" w:hAnsi="Arial" w:cs="Arial"/>
        </w:rPr>
        <w:t>Dispõe o artigo 73º, n.º 1, da Constituição da República Portuguesa (“</w:t>
      </w:r>
      <w:r w:rsidRPr="00464BAA">
        <w:rPr>
          <w:rFonts w:ascii="Arial" w:eastAsia="Times New Roman" w:hAnsi="Arial" w:cs="Arial"/>
          <w:b/>
          <w:bCs/>
        </w:rPr>
        <w:t>CRP</w:t>
      </w:r>
      <w:r w:rsidRPr="00464BAA">
        <w:rPr>
          <w:rFonts w:ascii="Arial" w:eastAsia="Times New Roman" w:hAnsi="Arial" w:cs="Arial"/>
        </w:rPr>
        <w:t>”) que “</w:t>
      </w:r>
      <w:r w:rsidRPr="00464BAA">
        <w:rPr>
          <w:rFonts w:ascii="Arial" w:eastAsia="Times New Roman" w:hAnsi="Arial" w:cs="Arial"/>
          <w:i/>
          <w:iCs/>
        </w:rPr>
        <w:t>todos têm direito à educação e à cultura</w:t>
      </w:r>
      <w:r w:rsidRPr="00464BAA">
        <w:rPr>
          <w:rFonts w:ascii="Arial" w:eastAsia="Times New Roman" w:hAnsi="Arial" w:cs="Arial"/>
        </w:rPr>
        <w:t>”, tendo sido uma intenção clara do legislador constituinte a sua promoção. No entanto, a obrigação de uma isenção doutrinária do Estado não o deve impedir de promover o acesso à fruição e criação cultural (</w:t>
      </w:r>
      <w:proofErr w:type="spellStart"/>
      <w:r w:rsidRPr="00464BAA">
        <w:rPr>
          <w:rFonts w:ascii="Arial" w:eastAsia="Times New Roman" w:hAnsi="Arial" w:cs="Arial"/>
          <w:i/>
          <w:iCs/>
        </w:rPr>
        <w:t>cfr</w:t>
      </w:r>
      <w:proofErr w:type="spellEnd"/>
      <w:r w:rsidRPr="00464BAA">
        <w:rPr>
          <w:rFonts w:ascii="Arial" w:eastAsia="Times New Roman" w:hAnsi="Arial" w:cs="Arial"/>
          <w:i/>
          <w:iCs/>
        </w:rPr>
        <w:t>.</w:t>
      </w:r>
      <w:r w:rsidRPr="00464BAA">
        <w:rPr>
          <w:rFonts w:ascii="Arial" w:eastAsia="Times New Roman" w:hAnsi="Arial" w:cs="Arial"/>
        </w:rPr>
        <w:t xml:space="preserve"> artigo 73º, n.º</w:t>
      </w:r>
      <w:r w:rsidR="00BA76C2" w:rsidRPr="00464BAA">
        <w:rPr>
          <w:rFonts w:ascii="Arial" w:eastAsia="Times New Roman" w:hAnsi="Arial" w:cs="Arial"/>
        </w:rPr>
        <w:t xml:space="preserve"> </w:t>
      </w:r>
      <w:r w:rsidRPr="00464BAA">
        <w:rPr>
          <w:rFonts w:ascii="Arial" w:eastAsia="Times New Roman" w:hAnsi="Arial" w:cs="Arial"/>
        </w:rPr>
        <w:t>3, da CRP), sendo que a efetivação deste Direito Económico Social e Cultural pressupõe o desenvolvimento de políticas que prossigam este fim</w:t>
      </w:r>
      <w:r w:rsidR="00EE293C" w:rsidRPr="00464BAA">
        <w:rPr>
          <w:rStyle w:val="Refdenotaderodap"/>
          <w:rFonts w:ascii="Arial" w:eastAsia="Times New Roman" w:hAnsi="Arial" w:cs="Arial"/>
        </w:rPr>
        <w:footnoteReference w:id="1"/>
      </w:r>
      <w:r w:rsidRPr="00464BAA">
        <w:rPr>
          <w:rFonts w:ascii="Arial" w:eastAsia="Times New Roman" w:hAnsi="Arial" w:cs="Arial"/>
        </w:rPr>
        <w:t xml:space="preserve">. Neste sentido, esta incumbência ganha ainda mais importância na Juventude, asseverando a proteção dos seus direitos, </w:t>
      </w:r>
      <w:r w:rsidR="00562401">
        <w:rPr>
          <w:rFonts w:ascii="Arial" w:eastAsia="Times New Roman" w:hAnsi="Arial" w:cs="Arial"/>
        </w:rPr>
        <w:t>nomeadamente</w:t>
      </w:r>
      <w:r w:rsidRPr="00464BAA">
        <w:rPr>
          <w:rFonts w:ascii="Arial" w:eastAsia="Times New Roman" w:hAnsi="Arial" w:cs="Arial"/>
        </w:rPr>
        <w:t xml:space="preserve"> no Ensino e na Cultura (</w:t>
      </w:r>
      <w:proofErr w:type="spellStart"/>
      <w:r w:rsidRPr="00464BAA">
        <w:rPr>
          <w:rFonts w:ascii="Arial" w:eastAsia="Times New Roman" w:hAnsi="Arial" w:cs="Arial"/>
          <w:i/>
          <w:iCs/>
        </w:rPr>
        <w:t>cfr</w:t>
      </w:r>
      <w:proofErr w:type="spellEnd"/>
      <w:r w:rsidRPr="00464BAA">
        <w:rPr>
          <w:rFonts w:ascii="Arial" w:eastAsia="Times New Roman" w:hAnsi="Arial" w:cs="Arial"/>
          <w:i/>
          <w:iCs/>
        </w:rPr>
        <w:t xml:space="preserve">. </w:t>
      </w:r>
      <w:r w:rsidRPr="00464BAA">
        <w:rPr>
          <w:rFonts w:ascii="Arial" w:eastAsia="Times New Roman" w:hAnsi="Arial" w:cs="Arial"/>
        </w:rPr>
        <w:t>artigo 70º, n.º 1, alínea a), da CRP).</w:t>
      </w:r>
    </w:p>
    <w:p w14:paraId="4F15AA86" w14:textId="43C3BFCD" w:rsidR="009D0F06" w:rsidRPr="00464BAA" w:rsidRDefault="167710B7" w:rsidP="167710B7">
      <w:pPr>
        <w:spacing w:line="360" w:lineRule="auto"/>
        <w:jc w:val="both"/>
        <w:rPr>
          <w:rFonts w:ascii="Arial" w:eastAsia="Times New Roman" w:hAnsi="Arial" w:cs="Arial"/>
        </w:rPr>
      </w:pPr>
      <w:r w:rsidRPr="00464BAA">
        <w:rPr>
          <w:rFonts w:ascii="Arial" w:eastAsia="Times New Roman" w:hAnsi="Arial" w:cs="Arial"/>
        </w:rPr>
        <w:t xml:space="preserve">A prática de </w:t>
      </w:r>
      <w:r w:rsidRPr="00464BAA">
        <w:rPr>
          <w:rFonts w:ascii="Arial" w:eastAsia="Times New Roman" w:hAnsi="Arial" w:cs="Arial"/>
          <w:i/>
          <w:iCs/>
        </w:rPr>
        <w:t>Atividades Artísticas</w:t>
      </w:r>
      <w:r w:rsidRPr="00464BAA">
        <w:rPr>
          <w:rFonts w:ascii="Arial" w:eastAsia="Times New Roman" w:hAnsi="Arial" w:cs="Arial"/>
        </w:rPr>
        <w:t xml:space="preserve"> assume um papel primordial no desenvolvimento humano. Deste modo, a sua importância é ainda maior quando pensamos nos mais jovens, seja através da melhoria das capacidades cognitivas, da inteligência emocional (</w:t>
      </w:r>
      <w:r w:rsidRPr="00464BAA">
        <w:rPr>
          <w:rFonts w:ascii="Arial" w:eastAsia="Times New Roman" w:hAnsi="Arial" w:cs="Arial"/>
          <w:i/>
          <w:iCs/>
        </w:rPr>
        <w:t>i.e.</w:t>
      </w:r>
      <w:r w:rsidRPr="00464BAA">
        <w:rPr>
          <w:rFonts w:ascii="Arial" w:eastAsia="Times New Roman" w:hAnsi="Arial" w:cs="Arial"/>
        </w:rPr>
        <w:t>, a capacidade de identificar e sentir as emoções dos outros e as próprias), da melhoria das relações interpessoais e da autoestima</w:t>
      </w:r>
      <w:r w:rsidR="00EE293C" w:rsidRPr="00464BAA">
        <w:rPr>
          <w:rStyle w:val="Refdenotaderodap"/>
          <w:rFonts w:ascii="Arial" w:eastAsia="Times New Roman" w:hAnsi="Arial" w:cs="Arial"/>
        </w:rPr>
        <w:footnoteReference w:id="2"/>
      </w:r>
      <w:r w:rsidRPr="00464BAA">
        <w:rPr>
          <w:rFonts w:ascii="Arial" w:eastAsia="Times New Roman" w:hAnsi="Arial" w:cs="Arial"/>
        </w:rPr>
        <w:t xml:space="preserve">. Todos estes fatores imprimem uma importância no desenvolvimento humano que poderá potenciar uma geração dotada de competências não apenas técnicas, mas acima de tudo relacionais. Por conseguinte, podemos afirmar que a promoção do desenvolvimento das atividades culturais nos jovens permitirá acreditar nas gerações futuras. </w:t>
      </w:r>
    </w:p>
    <w:p w14:paraId="21B403DA" w14:textId="280525CF" w:rsidR="009D0F06" w:rsidRPr="00464BAA" w:rsidRDefault="00562401" w:rsidP="167710B7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167710B7" w:rsidRPr="00464BAA">
        <w:rPr>
          <w:rFonts w:ascii="Arial" w:eastAsia="Times New Roman" w:hAnsi="Arial" w:cs="Arial"/>
        </w:rPr>
        <w:t>st</w:t>
      </w:r>
      <w:r>
        <w:rPr>
          <w:rFonts w:ascii="Arial" w:eastAsia="Times New Roman" w:hAnsi="Arial" w:cs="Arial"/>
        </w:rPr>
        <w:t xml:space="preserve">a iniciativa legislativa </w:t>
      </w:r>
      <w:r w:rsidR="167710B7" w:rsidRPr="00464BAA">
        <w:rPr>
          <w:rFonts w:ascii="Arial" w:eastAsia="Times New Roman" w:hAnsi="Arial" w:cs="Arial"/>
        </w:rPr>
        <w:t xml:space="preserve">visa não só a promoção destas atividades, mas </w:t>
      </w:r>
      <w:r>
        <w:rPr>
          <w:rFonts w:ascii="Arial" w:eastAsia="Times New Roman" w:hAnsi="Arial" w:cs="Arial"/>
        </w:rPr>
        <w:t xml:space="preserve">visa </w:t>
      </w:r>
      <w:r w:rsidR="167710B7" w:rsidRPr="00464BAA">
        <w:rPr>
          <w:rFonts w:ascii="Arial" w:eastAsia="Times New Roman" w:hAnsi="Arial" w:cs="Arial"/>
        </w:rPr>
        <w:t xml:space="preserve">sobretudo dar uma resposta clara a todos os jovens que a elas se dedicam e pretendem conciliá-las com o seu percurso académico. Como é sabido, as exigências decorrentes do próprio sistema de ensino e de acesso ao ensino superior reclamam um esforço, método e capacidade de </w:t>
      </w:r>
      <w:r w:rsidR="167710B7" w:rsidRPr="00464BAA">
        <w:rPr>
          <w:rFonts w:ascii="Arial" w:eastAsia="Times New Roman" w:hAnsi="Arial" w:cs="Arial"/>
        </w:rPr>
        <w:lastRenderedPageBreak/>
        <w:t>trabalho constantes, o que pode ficar comprometido sem o auxílio e os apoios necessários a estes estudantes. Ademais, em 2018, na sequência da Resolução da Assembleia da República nº 128/2017, foi aprovado pelo Decreto-Lei 55/2019</w:t>
      </w:r>
      <w:r w:rsidR="00EE293C" w:rsidRPr="00464BAA">
        <w:rPr>
          <w:rStyle w:val="Refdenotaderodap"/>
          <w:rFonts w:ascii="Arial" w:eastAsia="Times New Roman" w:hAnsi="Arial" w:cs="Arial"/>
        </w:rPr>
        <w:footnoteReference w:id="3"/>
      </w:r>
      <w:r w:rsidR="167710B7" w:rsidRPr="00464BAA">
        <w:rPr>
          <w:rFonts w:ascii="Arial" w:eastAsia="Times New Roman" w:hAnsi="Arial" w:cs="Arial"/>
        </w:rPr>
        <w:t xml:space="preserve"> o regime do Estudante Atleta do Ensino Superior, visando-se justamente a articulação da prática desportiva com a escola, através da criação de determinados benefícios para que estes estudantes não precisem de abdicar do Desporto, sem com isso comprometer o sucesso escolar. Por conseguinte, e como decorrência do princípio da igualdade (</w:t>
      </w:r>
      <w:proofErr w:type="spellStart"/>
      <w:r w:rsidR="167710B7" w:rsidRPr="00464BAA">
        <w:rPr>
          <w:rFonts w:ascii="Arial" w:eastAsia="Times New Roman" w:hAnsi="Arial" w:cs="Arial"/>
          <w:i/>
          <w:iCs/>
        </w:rPr>
        <w:t>cfr</w:t>
      </w:r>
      <w:proofErr w:type="spellEnd"/>
      <w:r w:rsidR="167710B7" w:rsidRPr="00464BAA">
        <w:rPr>
          <w:rFonts w:ascii="Arial" w:eastAsia="Times New Roman" w:hAnsi="Arial" w:cs="Arial"/>
          <w:i/>
          <w:iCs/>
        </w:rPr>
        <w:t xml:space="preserve">. </w:t>
      </w:r>
      <w:r w:rsidR="167710B7" w:rsidRPr="00464BAA">
        <w:rPr>
          <w:rFonts w:ascii="Arial" w:eastAsia="Times New Roman" w:hAnsi="Arial" w:cs="Arial"/>
        </w:rPr>
        <w:t xml:space="preserve">artigo 13.º, n.º1, da CRP) consideramos </w:t>
      </w:r>
      <w:r>
        <w:rPr>
          <w:rFonts w:ascii="Arial" w:eastAsia="Times New Roman" w:hAnsi="Arial" w:cs="Arial"/>
        </w:rPr>
        <w:t>da maior relevância</w:t>
      </w:r>
      <w:r w:rsidR="167710B7" w:rsidRPr="00464BAA">
        <w:rPr>
          <w:rFonts w:ascii="Arial" w:eastAsia="Times New Roman" w:hAnsi="Arial" w:cs="Arial"/>
        </w:rPr>
        <w:t xml:space="preserve"> que se acautele a situação de todos aqueles jovens que se dedicam à prática de atividades artísticas e que, como sabemos, não cabem no âmbito de aplicação do diploma supracitado. </w:t>
      </w:r>
    </w:p>
    <w:p w14:paraId="6ACF57FA" w14:textId="3D22E3B4" w:rsidR="009D0F06" w:rsidRPr="00464BAA" w:rsidRDefault="167710B7" w:rsidP="167710B7">
      <w:pPr>
        <w:spacing w:line="360" w:lineRule="auto"/>
        <w:jc w:val="both"/>
        <w:rPr>
          <w:rFonts w:ascii="Arial" w:eastAsia="Times New Roman" w:hAnsi="Arial" w:cs="Arial"/>
        </w:rPr>
      </w:pPr>
      <w:r w:rsidRPr="00464BAA">
        <w:rPr>
          <w:rFonts w:ascii="Arial" w:eastAsia="Times New Roman" w:hAnsi="Arial" w:cs="Arial"/>
        </w:rPr>
        <w:t xml:space="preserve">O </w:t>
      </w:r>
      <w:r w:rsidRPr="00464BAA">
        <w:rPr>
          <w:rFonts w:ascii="Arial" w:eastAsia="Times New Roman" w:hAnsi="Arial" w:cs="Arial"/>
          <w:b/>
          <w:bCs/>
        </w:rPr>
        <w:t>Estatuto do Artista-Estudante</w:t>
      </w:r>
      <w:r w:rsidRPr="00464BAA">
        <w:rPr>
          <w:rFonts w:ascii="Arial" w:eastAsia="Times New Roman" w:hAnsi="Arial" w:cs="Arial"/>
        </w:rPr>
        <w:t xml:space="preserve"> criará as condições necessárias para que estes estudantes possam gerir a prática destas atividades com a sua formação, sem prejuízo para o seu sucesso académico. </w:t>
      </w:r>
    </w:p>
    <w:p w14:paraId="72DB65DC" w14:textId="13C216E0" w:rsidR="009D0F06" w:rsidRPr="00464BAA" w:rsidRDefault="00562401" w:rsidP="167710B7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Em consequência</w:t>
      </w:r>
      <w:r w:rsidR="167710B7" w:rsidRPr="00464BAA">
        <w:rPr>
          <w:rFonts w:ascii="Arial" w:eastAsia="Times New Roman" w:hAnsi="Arial" w:cs="Arial"/>
          <w:color w:val="000000" w:themeColor="text1"/>
        </w:rPr>
        <w:t xml:space="preserve"> do atual contexto de pandemia da COVID-19 que vivenciamos, as restrições daí decorrentes impuseram um natural freio, ou mesmo paralisação, na prática e fruição das atividades artísticas. Todavia, assim os indicadores de saúde pública se mostrem favoráveis, a progressiva retoma destas atividades terá, naturalmente, de ser ponderada e considerada. Neste sentido, com o levantamento das restrições e a retoma da prática das atividades artísticas advirá a necessidade de colmatar o longo período de ausência, o que conduzirá a mais tempo despendido, o que, naturalmente, terá impacto sobretudo na agenda dos estudantes. Assim, e num juízo de prognose, considera-se que a conciliação dos estudos com a atividade artística se revela ainda mais crucial, especialmente a breve trecho, com as anteditas considerações que se expuseram.</w:t>
      </w:r>
    </w:p>
    <w:p w14:paraId="43571CB9" w14:textId="1D1691B7" w:rsidR="009D0F06" w:rsidRPr="00464BAA" w:rsidRDefault="00562401" w:rsidP="167710B7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O PSD entende que a </w:t>
      </w:r>
      <w:r w:rsidR="167710B7" w:rsidRPr="00464BAA">
        <w:rPr>
          <w:rFonts w:ascii="Arial" w:eastAsia="Times New Roman" w:hAnsi="Arial" w:cs="Arial"/>
          <w:color w:val="000000" w:themeColor="text1"/>
        </w:rPr>
        <w:t>criação do Estatuto do Artista-Estudante, com a atenção e o planeamento devidos, permitirá atenuar a discrepância de tratamento dado aos praticantes de atividades artísticas face aos mesmo de atividades desportivas na conciliação com o percurso académico, estimulando o interesse dos jovens estudantes pela prática das atividades artísticas e ajustando-a às suas obrigações académicas, para que nenhum desses jovens seja forçado a optar entre a atividade artística e a sua formação por incompatibilização de agenda ou receio de negligenciar, principalmente, os seus estudos.</w:t>
      </w:r>
    </w:p>
    <w:p w14:paraId="27636FD5" w14:textId="19FCA294" w:rsidR="009D0F06" w:rsidRPr="00464BAA" w:rsidRDefault="167710B7" w:rsidP="167710B7">
      <w:pPr>
        <w:spacing w:line="360" w:lineRule="auto"/>
        <w:jc w:val="both"/>
        <w:rPr>
          <w:rFonts w:ascii="Arial" w:eastAsia="Times New Roman" w:hAnsi="Arial" w:cs="Arial"/>
        </w:rPr>
      </w:pPr>
      <w:r w:rsidRPr="00464BAA">
        <w:rPr>
          <w:rFonts w:ascii="Arial" w:eastAsia="Times New Roman" w:hAnsi="Arial" w:cs="Arial"/>
        </w:rPr>
        <w:lastRenderedPageBreak/>
        <w:t xml:space="preserve">Como é evidente, o Estatuto deverá ser regulado nos termos da autonomia das Instituições do Ensino Superior, de forma a que estas possam alargar o seu âmbito, caso o pretendam. </w:t>
      </w:r>
    </w:p>
    <w:p w14:paraId="485FE124" w14:textId="7A3C29BE" w:rsidR="009D0F06" w:rsidRPr="00464BAA" w:rsidRDefault="167710B7" w:rsidP="167710B7">
      <w:pPr>
        <w:spacing w:line="360" w:lineRule="auto"/>
        <w:jc w:val="both"/>
        <w:rPr>
          <w:rFonts w:ascii="Arial" w:eastAsia="Times New Roman" w:hAnsi="Arial" w:cs="Arial"/>
        </w:rPr>
      </w:pPr>
      <w:r w:rsidRPr="00464BAA">
        <w:rPr>
          <w:rFonts w:ascii="Arial" w:eastAsia="Times New Roman" w:hAnsi="Arial" w:cs="Arial"/>
        </w:rPr>
        <w:t>Assim, ao abrigo das disposições constitucionais e regimentais aplicáveis, o Grupo Parlamentar do PSD propõe que a Assembleia da República recomende ao Governo que:</w:t>
      </w:r>
    </w:p>
    <w:p w14:paraId="42B14958" w14:textId="56DD7AFC" w:rsidR="009D0F06" w:rsidRPr="00464BAA" w:rsidRDefault="00562401" w:rsidP="167710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Implemente o Estatuto do Artista Estudante </w:t>
      </w:r>
      <w:r w:rsidR="167710B7" w:rsidRPr="00464BAA">
        <w:rPr>
          <w:rFonts w:ascii="Arial" w:eastAsia="Times New Roman" w:hAnsi="Arial" w:cs="Arial"/>
        </w:rPr>
        <w:t xml:space="preserve">nas diversas instituições do </w:t>
      </w:r>
      <w:r>
        <w:rPr>
          <w:rFonts w:ascii="Arial" w:eastAsia="Times New Roman" w:hAnsi="Arial" w:cs="Arial"/>
        </w:rPr>
        <w:t>E</w:t>
      </w:r>
      <w:r w:rsidR="167710B7" w:rsidRPr="00464BAA">
        <w:rPr>
          <w:rFonts w:ascii="Arial" w:eastAsia="Times New Roman" w:hAnsi="Arial" w:cs="Arial"/>
        </w:rPr>
        <w:t xml:space="preserve">nsino </w:t>
      </w:r>
      <w:r>
        <w:rPr>
          <w:rFonts w:ascii="Arial" w:eastAsia="Times New Roman" w:hAnsi="Arial" w:cs="Arial"/>
        </w:rPr>
        <w:t>S</w:t>
      </w:r>
      <w:r w:rsidR="167710B7" w:rsidRPr="00464BAA">
        <w:rPr>
          <w:rFonts w:ascii="Arial" w:eastAsia="Times New Roman" w:hAnsi="Arial" w:cs="Arial"/>
        </w:rPr>
        <w:t xml:space="preserve">uperior, </w:t>
      </w:r>
      <w:r>
        <w:rPr>
          <w:rFonts w:ascii="Arial" w:eastAsia="Times New Roman" w:hAnsi="Arial" w:cs="Arial"/>
        </w:rPr>
        <w:t>com a definição dos critérios de âmbito de aplicação aos artistas estudantes.</w:t>
      </w:r>
    </w:p>
    <w:p w14:paraId="13177C0E" w14:textId="77777777" w:rsidR="00155D89" w:rsidRDefault="0074494B" w:rsidP="167710B7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167710B7" w:rsidRPr="00464BAA">
        <w:rPr>
          <w:rFonts w:ascii="Arial" w:eastAsia="Times New Roman" w:hAnsi="Arial" w:cs="Arial"/>
        </w:rPr>
        <w:t xml:space="preserve">oncretize a criação do Estatuto </w:t>
      </w:r>
      <w:r w:rsidR="00562401">
        <w:rPr>
          <w:rFonts w:ascii="Arial" w:eastAsia="Times New Roman" w:hAnsi="Arial" w:cs="Arial"/>
        </w:rPr>
        <w:t xml:space="preserve">com </w:t>
      </w:r>
      <w:r w:rsidR="167710B7" w:rsidRPr="00464BAA">
        <w:rPr>
          <w:rFonts w:ascii="Arial" w:eastAsia="Times New Roman" w:hAnsi="Arial" w:cs="Arial"/>
        </w:rPr>
        <w:t xml:space="preserve">o objetivo de promover a prática das atividades artísticas, bem como permitir que estes jovens possam conciliá-las com a sua formação, sem prejuízo para o seu sucesso académico. </w:t>
      </w:r>
    </w:p>
    <w:p w14:paraId="5CE5FD97" w14:textId="6EC91F02" w:rsidR="009D0F06" w:rsidRPr="00464BAA" w:rsidRDefault="00155D89" w:rsidP="167710B7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Atribua </w:t>
      </w:r>
      <w:r w:rsidR="167710B7" w:rsidRPr="00464BAA">
        <w:rPr>
          <w:rFonts w:ascii="Arial" w:eastAsia="Times New Roman" w:hAnsi="Arial" w:cs="Arial"/>
        </w:rPr>
        <w:t>ao Artista Estudante os mesmos direitos que são reconhecidos aos Estudantes</w:t>
      </w:r>
      <w:r>
        <w:rPr>
          <w:rFonts w:ascii="Arial" w:eastAsia="Times New Roman" w:hAnsi="Arial" w:cs="Arial"/>
        </w:rPr>
        <w:t xml:space="preserve"> Atletas</w:t>
      </w:r>
      <w:r w:rsidR="167710B7" w:rsidRPr="00464BAA">
        <w:rPr>
          <w:rFonts w:ascii="Arial" w:eastAsia="Times New Roman" w:hAnsi="Arial" w:cs="Arial"/>
        </w:rPr>
        <w:t xml:space="preserve">. </w:t>
      </w:r>
      <w:r w:rsidR="00EE293C" w:rsidRPr="00464BAA">
        <w:rPr>
          <w:rFonts w:ascii="Arial" w:hAnsi="Arial" w:cs="Arial"/>
        </w:rPr>
        <w:tab/>
      </w:r>
    </w:p>
    <w:p w14:paraId="6F2FE23F" w14:textId="58901403" w:rsidR="009D0F06" w:rsidRPr="00464BAA" w:rsidRDefault="167710B7" w:rsidP="167710B7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64BAA">
        <w:rPr>
          <w:rFonts w:ascii="Arial" w:eastAsia="Times New Roman" w:hAnsi="Arial" w:cs="Arial"/>
        </w:rPr>
        <w:t xml:space="preserve">Articule a criação deste Estatuto com todas as Instituições do Ensino Superior e Entidades credenciadas. </w:t>
      </w:r>
      <w:r w:rsidR="00EE293C" w:rsidRPr="00464BAA">
        <w:rPr>
          <w:rFonts w:ascii="Arial" w:hAnsi="Arial" w:cs="Arial"/>
        </w:rPr>
        <w:tab/>
      </w:r>
    </w:p>
    <w:p w14:paraId="0AB74C59" w14:textId="3B484CA3" w:rsidR="009D0F06" w:rsidRPr="00464BAA" w:rsidRDefault="009D0F06" w:rsidP="167710B7">
      <w:pPr>
        <w:spacing w:line="240" w:lineRule="auto"/>
        <w:jc w:val="both"/>
        <w:rPr>
          <w:rFonts w:ascii="Arial" w:eastAsia="Times New Roman" w:hAnsi="Arial" w:cs="Arial"/>
        </w:rPr>
      </w:pPr>
    </w:p>
    <w:p w14:paraId="22B40818" w14:textId="74E4C945" w:rsidR="009D0F06" w:rsidRPr="00464BAA" w:rsidRDefault="009D0F06" w:rsidP="167710B7">
      <w:pPr>
        <w:jc w:val="both"/>
        <w:rPr>
          <w:rFonts w:ascii="Arial" w:hAnsi="Arial" w:cs="Arial"/>
        </w:rPr>
      </w:pPr>
    </w:p>
    <w:p w14:paraId="092EF4B1" w14:textId="27CC3FBA" w:rsidR="009D0F06" w:rsidRPr="00464BAA" w:rsidRDefault="00464BAA" w:rsidP="00464BAA">
      <w:pPr>
        <w:jc w:val="center"/>
        <w:rPr>
          <w:rFonts w:ascii="Arial" w:eastAsia="Calibri" w:hAnsi="Arial" w:cs="Arial"/>
        </w:rPr>
      </w:pPr>
      <w:r w:rsidRPr="00464BAA">
        <w:rPr>
          <w:rFonts w:ascii="Arial" w:eastAsia="Calibri" w:hAnsi="Arial" w:cs="Arial"/>
        </w:rPr>
        <w:t xml:space="preserve">Palácio de São Bento, </w:t>
      </w:r>
      <w:r w:rsidR="00615FB9">
        <w:rPr>
          <w:rFonts w:ascii="Arial" w:eastAsia="Calibri" w:hAnsi="Arial" w:cs="Arial"/>
        </w:rPr>
        <w:t>1</w:t>
      </w:r>
      <w:r w:rsidR="003A4B6A">
        <w:rPr>
          <w:rFonts w:ascii="Arial" w:eastAsia="Calibri" w:hAnsi="Arial" w:cs="Arial"/>
        </w:rPr>
        <w:t>5</w:t>
      </w:r>
      <w:r w:rsidRPr="00464BAA">
        <w:rPr>
          <w:rFonts w:ascii="Arial" w:eastAsia="Calibri" w:hAnsi="Arial" w:cs="Arial"/>
        </w:rPr>
        <w:t xml:space="preserve"> de dezembro de 2020</w:t>
      </w:r>
    </w:p>
    <w:p w14:paraId="460DF5A7" w14:textId="2095D811" w:rsidR="00464BAA" w:rsidRPr="00464BAA" w:rsidRDefault="00464BAA" w:rsidP="00464BAA">
      <w:pPr>
        <w:jc w:val="center"/>
        <w:rPr>
          <w:rFonts w:ascii="Arial" w:eastAsia="Calibri" w:hAnsi="Arial" w:cs="Arial"/>
        </w:rPr>
      </w:pPr>
    </w:p>
    <w:p w14:paraId="2F8EDA32" w14:textId="1F936445" w:rsidR="00464BAA" w:rsidRPr="00464BAA" w:rsidRDefault="00464BAA" w:rsidP="00464BAA">
      <w:pPr>
        <w:jc w:val="center"/>
        <w:rPr>
          <w:rFonts w:ascii="Arial" w:eastAsia="Calibri" w:hAnsi="Arial" w:cs="Arial"/>
          <w:b/>
          <w:bCs/>
        </w:rPr>
      </w:pPr>
      <w:r w:rsidRPr="00464BAA">
        <w:rPr>
          <w:rFonts w:ascii="Arial" w:eastAsia="Calibri" w:hAnsi="Arial" w:cs="Arial"/>
          <w:b/>
          <w:bCs/>
        </w:rPr>
        <w:t>Os Deputados,</w:t>
      </w:r>
    </w:p>
    <w:p w14:paraId="747A6A27" w14:textId="37EEB46B" w:rsidR="00464BAA" w:rsidRPr="00C61819" w:rsidRDefault="00464BAA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Alexandre Poço</w:t>
      </w:r>
    </w:p>
    <w:p w14:paraId="56A4D4C5" w14:textId="23421EA7" w:rsidR="00464BAA" w:rsidRPr="00C61819" w:rsidRDefault="00464BAA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Margarida Balseiro Lopes</w:t>
      </w:r>
    </w:p>
    <w:p w14:paraId="43C8497D" w14:textId="442220A8" w:rsidR="00464BAA" w:rsidRPr="00C61819" w:rsidRDefault="00464BAA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Sofia Matos</w:t>
      </w:r>
    </w:p>
    <w:p w14:paraId="6C4BA6B8" w14:textId="244EC8A4" w:rsidR="00464BAA" w:rsidRPr="00C61819" w:rsidRDefault="00464BAA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Hugo Martins de Carvalho</w:t>
      </w:r>
    </w:p>
    <w:p w14:paraId="0931CF81" w14:textId="77777777" w:rsidR="00C61819" w:rsidRDefault="003A4B6A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André Neves</w:t>
      </w:r>
      <w:r w:rsidR="00C61819" w:rsidRPr="00C61819">
        <w:rPr>
          <w:rFonts w:eastAsia="Calibri" w:cstheme="minorHAnsi"/>
          <w:sz w:val="24"/>
          <w:szCs w:val="24"/>
        </w:rPr>
        <w:t xml:space="preserve"> </w:t>
      </w:r>
    </w:p>
    <w:p w14:paraId="54CB5882" w14:textId="56F22AC7" w:rsidR="00C61819" w:rsidRPr="00C61819" w:rsidRDefault="00C61819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Ricardo Baptista Leite</w:t>
      </w:r>
    </w:p>
    <w:p w14:paraId="180F4DF8" w14:textId="77777777" w:rsidR="00C61819" w:rsidRPr="00C61819" w:rsidRDefault="00C61819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Luís Leite Ramos</w:t>
      </w:r>
    </w:p>
    <w:p w14:paraId="1E2ED54C" w14:textId="77777777" w:rsidR="00C61819" w:rsidRPr="00C61819" w:rsidRDefault="00C61819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Paulo Rios de Oliveira</w:t>
      </w:r>
    </w:p>
    <w:p w14:paraId="5A20A946" w14:textId="77777777" w:rsidR="00C61819" w:rsidRPr="00C61819" w:rsidRDefault="00C61819" w:rsidP="00C61819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C61819">
        <w:rPr>
          <w:rFonts w:eastAsia="Calibri" w:cstheme="minorHAnsi"/>
          <w:sz w:val="24"/>
          <w:szCs w:val="24"/>
        </w:rPr>
        <w:t>Cláudia André</w:t>
      </w:r>
    </w:p>
    <w:p w14:paraId="00C61393" w14:textId="77777777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lastRenderedPageBreak/>
        <w:t xml:space="preserve">Fernanda </w:t>
      </w:r>
      <w:proofErr w:type="spellStart"/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Velez</w:t>
      </w:r>
      <w:proofErr w:type="spellEnd"/>
    </w:p>
    <w:p w14:paraId="143B2DE0" w14:textId="1546AA4A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Firmino Pereira</w:t>
      </w:r>
    </w:p>
    <w:p w14:paraId="771F1999" w14:textId="52FF8BFC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Carlos Silva</w:t>
      </w:r>
    </w:p>
    <w:p w14:paraId="3C91A20B" w14:textId="77777777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Carla Madureira,</w:t>
      </w:r>
    </w:p>
    <w:p w14:paraId="7840264A" w14:textId="77777777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Claúdia Bento</w:t>
      </w:r>
    </w:p>
    <w:p w14:paraId="02676AB0" w14:textId="54748A53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Emídio Guerreiro,</w:t>
      </w:r>
    </w:p>
    <w:p w14:paraId="0B036752" w14:textId="30AA17BE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Carla Borges</w:t>
      </w:r>
    </w:p>
    <w:p w14:paraId="1C294C29" w14:textId="35F3F559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Maria Germana Rocha</w:t>
      </w:r>
    </w:p>
    <w:p w14:paraId="1E41BF31" w14:textId="085D9BA9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Filipa Roseta</w:t>
      </w:r>
    </w:p>
    <w:p w14:paraId="12BD5668" w14:textId="6D3ED6D0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Isabel Lopes</w:t>
      </w:r>
    </w:p>
    <w:p w14:paraId="268DCD32" w14:textId="0A294863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Helga Correia</w:t>
      </w:r>
    </w:p>
    <w:p w14:paraId="615B75E6" w14:textId="6CCAB4F6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Maria Gabriela Fonseca,</w:t>
      </w:r>
    </w:p>
    <w:p w14:paraId="69D4B750" w14:textId="378D27A5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João Moura</w:t>
      </w:r>
    </w:p>
    <w:p w14:paraId="3982D887" w14:textId="20897246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Ilídia Quadrado,</w:t>
      </w:r>
    </w:p>
    <w:p w14:paraId="2704A4B5" w14:textId="77777777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Olga Silvestre</w:t>
      </w:r>
    </w:p>
    <w:p w14:paraId="18376541" w14:textId="3D36BC88" w:rsidR="00C61819" w:rsidRPr="00C61819" w:rsidRDefault="00C61819" w:rsidP="00C61819">
      <w:pPr>
        <w:spacing w:line="276" w:lineRule="auto"/>
        <w:jc w:val="center"/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</w:pPr>
      <w:r w:rsidRPr="00C61819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pt-PT"/>
        </w:rPr>
        <w:t>Sérgio Marques</w:t>
      </w:r>
    </w:p>
    <w:p w14:paraId="71B4CF4A" w14:textId="77777777" w:rsidR="00C61819" w:rsidRPr="00464BAA" w:rsidRDefault="00C61819" w:rsidP="00464BAA">
      <w:pPr>
        <w:jc w:val="center"/>
        <w:rPr>
          <w:rFonts w:ascii="Arial" w:eastAsia="Calibri" w:hAnsi="Arial" w:cs="Arial"/>
        </w:rPr>
      </w:pPr>
    </w:p>
    <w:sectPr w:rsidR="00C61819" w:rsidRPr="00464BA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ED9B" w14:textId="77777777" w:rsidR="006C4DCB" w:rsidRDefault="006C4DCB">
      <w:pPr>
        <w:spacing w:after="0" w:line="240" w:lineRule="auto"/>
      </w:pPr>
      <w:r>
        <w:separator/>
      </w:r>
    </w:p>
  </w:endnote>
  <w:endnote w:type="continuationSeparator" w:id="0">
    <w:p w14:paraId="5D0BADEB" w14:textId="77777777" w:rsidR="006C4DCB" w:rsidRDefault="006C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27394"/>
      <w:docPartObj>
        <w:docPartGallery w:val="Page Numbers (Bottom of Page)"/>
        <w:docPartUnique/>
      </w:docPartObj>
    </w:sdtPr>
    <w:sdtEndPr/>
    <w:sdtContent>
      <w:p w14:paraId="5E9C16EA" w14:textId="0A66D89D" w:rsidR="00BA76C2" w:rsidRDefault="00BA76C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19">
          <w:rPr>
            <w:noProof/>
          </w:rPr>
          <w:t>3</w:t>
        </w:r>
        <w:r>
          <w:fldChar w:fldCharType="end"/>
        </w:r>
      </w:p>
    </w:sdtContent>
  </w:sdt>
  <w:p w14:paraId="2CA9D7AE" w14:textId="77777777" w:rsidR="00BA76C2" w:rsidRDefault="00BA7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DA55" w14:textId="77777777" w:rsidR="006C4DCB" w:rsidRDefault="006C4DCB">
      <w:pPr>
        <w:spacing w:after="0" w:line="240" w:lineRule="auto"/>
      </w:pPr>
      <w:r>
        <w:separator/>
      </w:r>
    </w:p>
  </w:footnote>
  <w:footnote w:type="continuationSeparator" w:id="0">
    <w:p w14:paraId="0C11B13F" w14:textId="77777777" w:rsidR="006C4DCB" w:rsidRDefault="006C4DCB">
      <w:pPr>
        <w:spacing w:after="0" w:line="240" w:lineRule="auto"/>
      </w:pPr>
      <w:r>
        <w:continuationSeparator/>
      </w:r>
    </w:p>
  </w:footnote>
  <w:footnote w:id="1">
    <w:p w14:paraId="57D3221A" w14:textId="707218E2" w:rsidR="167710B7" w:rsidRPr="00BA76C2" w:rsidRDefault="167710B7" w:rsidP="167710B7">
      <w:pPr>
        <w:pStyle w:val="Textodenotaderodap"/>
        <w:jc w:val="both"/>
        <w:rPr>
          <w:rFonts w:ascii="Arial" w:eastAsia="Times New Roman" w:hAnsi="Arial" w:cs="Arial"/>
        </w:rPr>
      </w:pPr>
      <w:r w:rsidRPr="00BA76C2">
        <w:rPr>
          <w:rStyle w:val="Refdenotaderodap"/>
          <w:rFonts w:ascii="Arial" w:eastAsia="Times New Roman" w:hAnsi="Arial" w:cs="Arial"/>
        </w:rPr>
        <w:footnoteRef/>
      </w:r>
      <w:r w:rsidRPr="00BA76C2">
        <w:rPr>
          <w:rFonts w:ascii="Arial" w:eastAsia="Times New Roman" w:hAnsi="Arial" w:cs="Arial"/>
        </w:rPr>
        <w:t xml:space="preserve"> MIRANDA, Jorge- </w:t>
      </w:r>
      <w:r w:rsidRPr="00BA76C2">
        <w:rPr>
          <w:rFonts w:ascii="Arial" w:eastAsia="Times New Roman" w:hAnsi="Arial" w:cs="Arial"/>
          <w:i/>
          <w:iCs/>
        </w:rPr>
        <w:t xml:space="preserve">Notas Sobre Cultura, Constituição e Direitos Culturais, </w:t>
      </w:r>
      <w:r w:rsidRPr="00BA76C2">
        <w:rPr>
          <w:rFonts w:ascii="Arial" w:eastAsia="Times New Roman" w:hAnsi="Arial" w:cs="Arial"/>
        </w:rPr>
        <w:t xml:space="preserve">disponível em </w:t>
      </w:r>
      <w:hyperlink r:id="rId1">
        <w:r w:rsidRPr="00BA76C2">
          <w:rPr>
            <w:rStyle w:val="Hiperligao"/>
            <w:rFonts w:ascii="Arial" w:eastAsia="Times New Roman" w:hAnsi="Arial" w:cs="Arial"/>
          </w:rPr>
          <w:t>http://www.fd.ulisboa.pt/wp-content/uploads/2014/12/Miranda-Jorge-Notas-sobre-cultura-Constituicao-e-direitos-culturais.pdf</w:t>
        </w:r>
      </w:hyperlink>
      <w:r w:rsidRPr="00BA76C2">
        <w:rPr>
          <w:rFonts w:ascii="Arial" w:eastAsia="Times New Roman" w:hAnsi="Arial" w:cs="Arial"/>
        </w:rPr>
        <w:t>, pág. 14.</w:t>
      </w:r>
    </w:p>
  </w:footnote>
  <w:footnote w:id="2">
    <w:p w14:paraId="3DAD7436" w14:textId="0DADE0A2" w:rsidR="167710B7" w:rsidRPr="00BA76C2" w:rsidRDefault="167710B7" w:rsidP="167710B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A76C2">
        <w:rPr>
          <w:rStyle w:val="Refdenotaderodap"/>
          <w:rFonts w:ascii="Arial" w:eastAsia="Times New Roman" w:hAnsi="Arial" w:cs="Arial"/>
          <w:sz w:val="20"/>
          <w:szCs w:val="20"/>
        </w:rPr>
        <w:footnoteRef/>
      </w:r>
      <w:r w:rsidRPr="00BA76C2">
        <w:rPr>
          <w:rFonts w:ascii="Arial" w:eastAsia="Times New Roman" w:hAnsi="Arial" w:cs="Arial"/>
          <w:i/>
          <w:iCs/>
          <w:sz w:val="20"/>
          <w:szCs w:val="20"/>
          <w:lang w:val="en-US"/>
        </w:rPr>
        <w:t>The Arts and Human Development</w:t>
      </w:r>
      <w:r w:rsidRPr="00BA76C2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BA76C2">
        <w:rPr>
          <w:rFonts w:ascii="Arial" w:eastAsia="Times New Roman" w:hAnsi="Arial" w:cs="Arial"/>
          <w:sz w:val="20"/>
          <w:szCs w:val="20"/>
          <w:lang w:val="en-US"/>
        </w:rPr>
        <w:t>disponível</w:t>
      </w:r>
      <w:proofErr w:type="spellEnd"/>
      <w:r w:rsidRPr="00BA76C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A76C2">
        <w:rPr>
          <w:rFonts w:ascii="Arial" w:eastAsia="Times New Roman" w:hAnsi="Arial" w:cs="Arial"/>
          <w:sz w:val="20"/>
          <w:szCs w:val="20"/>
          <w:lang w:val="en-US"/>
        </w:rPr>
        <w:t>em</w:t>
      </w:r>
      <w:proofErr w:type="spellEnd"/>
      <w:r w:rsidRPr="00BA76C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2">
        <w:r w:rsidRPr="00BA76C2">
          <w:rPr>
            <w:rStyle w:val="Hiperligao"/>
            <w:rFonts w:ascii="Arial" w:eastAsia="Times New Roman" w:hAnsi="Arial" w:cs="Arial"/>
            <w:sz w:val="20"/>
            <w:szCs w:val="20"/>
            <w:lang w:val="en-US"/>
          </w:rPr>
          <w:t>https://www.arts.gov/sites/default/files/TheArtsAndHumanDev.pdf</w:t>
        </w:r>
      </w:hyperlink>
      <w:r w:rsidRPr="00BA76C2">
        <w:rPr>
          <w:rFonts w:ascii="Arial" w:eastAsia="Times New Roman" w:hAnsi="Arial" w:cs="Arial"/>
          <w:sz w:val="20"/>
          <w:szCs w:val="20"/>
          <w:lang w:val="en-US"/>
        </w:rPr>
        <w:t xml:space="preserve"> , </w:t>
      </w:r>
      <w:proofErr w:type="spellStart"/>
      <w:r w:rsidRPr="00BA76C2">
        <w:rPr>
          <w:rFonts w:ascii="Arial" w:eastAsia="Times New Roman" w:hAnsi="Arial" w:cs="Arial"/>
          <w:sz w:val="20"/>
          <w:szCs w:val="20"/>
          <w:lang w:val="en-US"/>
        </w:rPr>
        <w:t>págs</w:t>
      </w:r>
      <w:proofErr w:type="spellEnd"/>
      <w:r w:rsidRPr="00BA76C2">
        <w:rPr>
          <w:rFonts w:ascii="Arial" w:eastAsia="Times New Roman" w:hAnsi="Arial" w:cs="Arial"/>
          <w:sz w:val="20"/>
          <w:szCs w:val="20"/>
          <w:lang w:val="en-US"/>
        </w:rPr>
        <w:t xml:space="preserve"> 19 e ss </w:t>
      </w:r>
      <w:r w:rsidRPr="00BA76C2">
        <w:rPr>
          <w:rFonts w:ascii="Arial" w:hAnsi="Arial" w:cs="Arial"/>
          <w:sz w:val="20"/>
          <w:szCs w:val="20"/>
        </w:rPr>
        <w:tab/>
      </w:r>
    </w:p>
    <w:p w14:paraId="71847764" w14:textId="23F5CADF" w:rsidR="167710B7" w:rsidRDefault="167710B7" w:rsidP="167710B7">
      <w:pPr>
        <w:pStyle w:val="Textodenotaderodap"/>
      </w:pPr>
    </w:p>
  </w:footnote>
  <w:footnote w:id="3">
    <w:p w14:paraId="425BEC1D" w14:textId="11994A21" w:rsidR="167710B7" w:rsidRPr="00BA76C2" w:rsidRDefault="167710B7" w:rsidP="167710B7">
      <w:pPr>
        <w:pStyle w:val="Textodenotaderodap"/>
        <w:rPr>
          <w:rFonts w:ascii="Arial" w:eastAsia="Times New Roman" w:hAnsi="Arial" w:cs="Arial"/>
        </w:rPr>
      </w:pPr>
      <w:r w:rsidRPr="00BA76C2">
        <w:rPr>
          <w:rStyle w:val="Refdenotaderodap"/>
          <w:rFonts w:ascii="Arial" w:eastAsia="Times New Roman" w:hAnsi="Arial" w:cs="Arial"/>
        </w:rPr>
        <w:footnoteRef/>
      </w:r>
      <w:r w:rsidRPr="00BA76C2">
        <w:rPr>
          <w:rFonts w:ascii="Arial" w:eastAsia="Times New Roman" w:hAnsi="Arial" w:cs="Arial"/>
        </w:rPr>
        <w:t xml:space="preserve"> Decreto-Lei nº 55/2019, disponível em </w:t>
      </w:r>
      <w:hyperlink r:id="rId3">
        <w:r w:rsidRPr="00BA76C2">
          <w:rPr>
            <w:rStyle w:val="Hiperligao"/>
            <w:rFonts w:ascii="Arial" w:eastAsia="Times New Roman" w:hAnsi="Arial" w:cs="Arial"/>
          </w:rPr>
          <w:t>https://dre.pt/home/-/dre/122157759/details/maximized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22A7" w14:textId="3E55243F" w:rsidR="00AE6AF5" w:rsidRDefault="00AE6AF5">
    <w:pPr>
      <w:pStyle w:val="Cabealho"/>
    </w:pPr>
    <w:r>
      <w:rPr>
        <w:noProof/>
        <w:lang w:eastAsia="pt-PT"/>
      </w:rPr>
      <w:drawing>
        <wp:inline distT="0" distB="0" distL="0" distR="0" wp14:anchorId="635C694A" wp14:editId="17D13A3D">
          <wp:extent cx="1606550" cy="10287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55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F87"/>
    <w:multiLevelType w:val="hybridMultilevel"/>
    <w:tmpl w:val="F834AE1A"/>
    <w:lvl w:ilvl="0" w:tplc="CF3EF20A">
      <w:start w:val="1"/>
      <w:numFmt w:val="decimal"/>
      <w:lvlText w:val="%1."/>
      <w:lvlJc w:val="left"/>
      <w:pPr>
        <w:ind w:left="720" w:hanging="360"/>
      </w:pPr>
    </w:lvl>
    <w:lvl w:ilvl="1" w:tplc="F97E1284">
      <w:start w:val="1"/>
      <w:numFmt w:val="lowerLetter"/>
      <w:lvlText w:val="%2."/>
      <w:lvlJc w:val="left"/>
      <w:pPr>
        <w:ind w:left="1440" w:hanging="360"/>
      </w:pPr>
    </w:lvl>
    <w:lvl w:ilvl="2" w:tplc="CCD6ABF2">
      <w:start w:val="1"/>
      <w:numFmt w:val="lowerRoman"/>
      <w:lvlText w:val="%3."/>
      <w:lvlJc w:val="right"/>
      <w:pPr>
        <w:ind w:left="2160" w:hanging="180"/>
      </w:pPr>
    </w:lvl>
    <w:lvl w:ilvl="3" w:tplc="1214E9D6">
      <w:start w:val="1"/>
      <w:numFmt w:val="decimal"/>
      <w:lvlText w:val="%4."/>
      <w:lvlJc w:val="left"/>
      <w:pPr>
        <w:ind w:left="2880" w:hanging="360"/>
      </w:pPr>
    </w:lvl>
    <w:lvl w:ilvl="4" w:tplc="6A327BE0">
      <w:start w:val="1"/>
      <w:numFmt w:val="lowerLetter"/>
      <w:lvlText w:val="%5."/>
      <w:lvlJc w:val="left"/>
      <w:pPr>
        <w:ind w:left="3600" w:hanging="360"/>
      </w:pPr>
    </w:lvl>
    <w:lvl w:ilvl="5" w:tplc="D2B61FF4">
      <w:start w:val="1"/>
      <w:numFmt w:val="lowerRoman"/>
      <w:lvlText w:val="%6."/>
      <w:lvlJc w:val="right"/>
      <w:pPr>
        <w:ind w:left="4320" w:hanging="180"/>
      </w:pPr>
    </w:lvl>
    <w:lvl w:ilvl="6" w:tplc="2604AC7A">
      <w:start w:val="1"/>
      <w:numFmt w:val="decimal"/>
      <w:lvlText w:val="%7."/>
      <w:lvlJc w:val="left"/>
      <w:pPr>
        <w:ind w:left="5040" w:hanging="360"/>
      </w:pPr>
    </w:lvl>
    <w:lvl w:ilvl="7" w:tplc="6F6ABE74">
      <w:start w:val="1"/>
      <w:numFmt w:val="lowerLetter"/>
      <w:lvlText w:val="%8."/>
      <w:lvlJc w:val="left"/>
      <w:pPr>
        <w:ind w:left="5760" w:hanging="360"/>
      </w:pPr>
    </w:lvl>
    <w:lvl w:ilvl="8" w:tplc="056083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A41826"/>
    <w:rsid w:val="00155D89"/>
    <w:rsid w:val="002D5577"/>
    <w:rsid w:val="003A4B6A"/>
    <w:rsid w:val="00464BAA"/>
    <w:rsid w:val="00562401"/>
    <w:rsid w:val="005A2FD4"/>
    <w:rsid w:val="00615FB9"/>
    <w:rsid w:val="006C4DCB"/>
    <w:rsid w:val="0074494B"/>
    <w:rsid w:val="00751FB6"/>
    <w:rsid w:val="009D0F06"/>
    <w:rsid w:val="00AE6AF5"/>
    <w:rsid w:val="00BA76C2"/>
    <w:rsid w:val="00C61819"/>
    <w:rsid w:val="00D01614"/>
    <w:rsid w:val="00D5301E"/>
    <w:rsid w:val="00D637F6"/>
    <w:rsid w:val="00D65C64"/>
    <w:rsid w:val="00EE293C"/>
    <w:rsid w:val="00FF03F9"/>
    <w:rsid w:val="167710B7"/>
    <w:rsid w:val="47A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1826"/>
  <w15:docId w15:val="{49216B89-8C34-4AFE-8E63-F6F16F30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uiPriority w:val="99"/>
    <w:semiHidden/>
    <w:unhideWhenUsed/>
    <w:rPr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A7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76C2"/>
  </w:style>
  <w:style w:type="paragraph" w:styleId="Rodap">
    <w:name w:val="footer"/>
    <w:basedOn w:val="Normal"/>
    <w:link w:val="RodapCarter"/>
    <w:uiPriority w:val="99"/>
    <w:unhideWhenUsed/>
    <w:rsid w:val="00BA7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6C2"/>
  </w:style>
  <w:style w:type="paragraph" w:styleId="Textodebalo">
    <w:name w:val="Balloon Text"/>
    <w:basedOn w:val="Normal"/>
    <w:link w:val="TextodebaloCarter"/>
    <w:uiPriority w:val="99"/>
    <w:semiHidden/>
    <w:unhideWhenUsed/>
    <w:rsid w:val="00C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0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0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8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98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0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7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0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40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0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79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re.pt/home/-/dre/122157759/details/maximized" TargetMode="External"/><Relationship Id="rId2" Type="http://schemas.openxmlformats.org/officeDocument/2006/relationships/hyperlink" Target="https://www.arts.gov/sites/default/files/TheArtsAndHumanDev.pdf" TargetMode="External"/><Relationship Id="rId1" Type="http://schemas.openxmlformats.org/officeDocument/2006/relationships/hyperlink" Target="http://www.fd.ulisboa.pt/wp-content/uploads/2014/12/Miranda-Jorge-Notas-sobre-cultura-Constituicao-e-direitos-cultura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2020-12-16T00:00:00+00:00</DataDocumento>
    <IDFase xmlns="2e97e158-1a31-4bff-9a0a-f8ebffd34ea8">0</IDFase>
    <IDIniciativa xmlns="2e97e158-1a31-4bff-9a0a-f8ebffd34ea8">45540</IDIniciativa>
    <TipoDocumento xmlns="2e97e158-1a31-4bff-9a0a-f8ebffd34ea8">Texto</TipoDocumento>
    <NomeOriginalFicheiro xmlns="2e97e158-1a31-4bff-9a0a-f8ebffd34ea8">pjr805-XIV.docx</NomeOriginalFicheiro>
    <NROrdem xmlns="2e97e158-1a31-4bff-9a0a-f8ebffd34ea8">0</NROrdem>
    <PublicarInternet xmlns="2e97e158-1a31-4bff-9a0a-f8ebffd34ea8">true</PublicarInternet>
    <NRIniciativa xmlns="2e97e158-1a31-4bff-9a0a-f8ebffd34ea8">805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06E03B5A-777F-41F2-854D-1E597FD661FA}"/>
</file>

<file path=customXml/itemProps2.xml><?xml version="1.0" encoding="utf-8"?>
<ds:datastoreItem xmlns:ds="http://schemas.openxmlformats.org/officeDocument/2006/customXml" ds:itemID="{F3DBF0D0-A4BC-4B82-A49E-6B2906C33876}"/>
</file>

<file path=customXml/itemProps3.xml><?xml version="1.0" encoding="utf-8"?>
<ds:datastoreItem xmlns:ds="http://schemas.openxmlformats.org/officeDocument/2006/customXml" ds:itemID="{8FE1D46E-E898-4158-B8A1-F5B4BA148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Diana Camões</dc:creator>
  <cp:lastModifiedBy>Teresa Lamas</cp:lastModifiedBy>
  <cp:revision>2</cp:revision>
  <dcterms:created xsi:type="dcterms:W3CDTF">2020-12-16T11:05:00Z</dcterms:created>
  <dcterms:modified xsi:type="dcterms:W3CDTF">2020-12-16T11:05:00Z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411200</vt:r8>
  </property>
</Properties>
</file>