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46958" w14:textId="77106484" w:rsidR="000E16F0" w:rsidRPr="000E16F0" w:rsidRDefault="00A135BB" w:rsidP="000E16F0">
      <w:pPr>
        <w:spacing w:line="276" w:lineRule="auto"/>
        <w:jc w:val="center"/>
        <w:rPr>
          <w:b/>
          <w:bCs/>
          <w:sz w:val="24"/>
          <w:szCs w:val="24"/>
        </w:rPr>
      </w:pPr>
      <w:r>
        <w:rPr>
          <w:b/>
          <w:bCs/>
          <w:sz w:val="24"/>
          <w:szCs w:val="24"/>
        </w:rPr>
        <w:t xml:space="preserve">Projeto de </w:t>
      </w:r>
      <w:r w:rsidR="000E16F0" w:rsidRPr="000E16F0">
        <w:rPr>
          <w:b/>
          <w:bCs/>
          <w:sz w:val="24"/>
          <w:szCs w:val="24"/>
        </w:rPr>
        <w:t xml:space="preserve">Voto </w:t>
      </w:r>
      <w:r>
        <w:rPr>
          <w:b/>
          <w:bCs/>
          <w:sz w:val="24"/>
          <w:szCs w:val="24"/>
        </w:rPr>
        <w:t>n.º 351</w:t>
      </w:r>
      <w:r w:rsidR="000E16F0" w:rsidRPr="000E16F0">
        <w:rPr>
          <w:b/>
          <w:bCs/>
          <w:sz w:val="24"/>
          <w:szCs w:val="24"/>
        </w:rPr>
        <w:t>/ XIV</w:t>
      </w:r>
    </w:p>
    <w:p w14:paraId="57EA357A" w14:textId="54703566" w:rsidR="000E16F0" w:rsidRPr="000E16F0" w:rsidRDefault="000E16F0" w:rsidP="000E16F0">
      <w:pPr>
        <w:spacing w:line="276" w:lineRule="auto"/>
        <w:jc w:val="center"/>
        <w:rPr>
          <w:sz w:val="24"/>
          <w:szCs w:val="24"/>
        </w:rPr>
      </w:pPr>
      <w:r>
        <w:rPr>
          <w:b/>
          <w:bCs/>
          <w:sz w:val="24"/>
          <w:szCs w:val="24"/>
        </w:rPr>
        <w:t>D</w:t>
      </w:r>
      <w:r w:rsidRPr="000E16F0">
        <w:rPr>
          <w:b/>
          <w:bCs/>
          <w:sz w:val="24"/>
          <w:szCs w:val="24"/>
        </w:rPr>
        <w:t xml:space="preserve">e Preocupação </w:t>
      </w:r>
      <w:r w:rsidR="00A135BB">
        <w:rPr>
          <w:b/>
          <w:bCs/>
          <w:sz w:val="24"/>
          <w:szCs w:val="24"/>
        </w:rPr>
        <w:t>p</w:t>
      </w:r>
      <w:bookmarkStart w:id="0" w:name="_GoBack"/>
      <w:bookmarkEnd w:id="0"/>
      <w:r w:rsidRPr="000E16F0">
        <w:rPr>
          <w:b/>
          <w:bCs/>
          <w:sz w:val="24"/>
          <w:szCs w:val="24"/>
        </w:rPr>
        <w:t>elo agravamento da situação humanitária e violação de direitos humanos na Síria</w:t>
      </w:r>
    </w:p>
    <w:p w14:paraId="1AEDCA44" w14:textId="77777777" w:rsidR="000E16F0" w:rsidRDefault="000E16F0" w:rsidP="000E16F0">
      <w:pPr>
        <w:spacing w:line="276" w:lineRule="auto"/>
        <w:jc w:val="both"/>
        <w:rPr>
          <w:sz w:val="24"/>
          <w:szCs w:val="24"/>
        </w:rPr>
      </w:pPr>
    </w:p>
    <w:p w14:paraId="4F12615C" w14:textId="75132D27" w:rsidR="000E16F0" w:rsidRPr="000E16F0" w:rsidRDefault="000E16F0" w:rsidP="000E16F0">
      <w:pPr>
        <w:spacing w:line="276" w:lineRule="auto"/>
        <w:jc w:val="both"/>
        <w:rPr>
          <w:sz w:val="24"/>
          <w:szCs w:val="24"/>
        </w:rPr>
      </w:pPr>
      <w:r w:rsidRPr="000E16F0">
        <w:rPr>
          <w:sz w:val="24"/>
          <w:szCs w:val="24"/>
        </w:rPr>
        <w:t xml:space="preserve">No passado dia 15 de setembro foi tornado público o relatório bianual da Comissão Internacional Independente de Inquérito à República Árabe da Síria. </w:t>
      </w:r>
      <w:r>
        <w:rPr>
          <w:sz w:val="24"/>
          <w:szCs w:val="24"/>
        </w:rPr>
        <w:t>N</w:t>
      </w:r>
      <w:r w:rsidRPr="000E16F0">
        <w:rPr>
          <w:sz w:val="24"/>
          <w:szCs w:val="24"/>
        </w:rPr>
        <w:t xml:space="preserve">ão obstante uma redução de hostilidades provocada pela pandemia nos últimos meses, continuaram as violações de direitos humanos no país, subjacentes ao sangrento conflito civil que já dura há mais de nove anos na Síria. </w:t>
      </w:r>
    </w:p>
    <w:p w14:paraId="0F2DF0AC" w14:textId="2F75564A" w:rsidR="000E16F0" w:rsidRPr="000E16F0" w:rsidRDefault="000E16F0" w:rsidP="000E16F0">
      <w:pPr>
        <w:spacing w:line="276" w:lineRule="auto"/>
        <w:jc w:val="both"/>
        <w:rPr>
          <w:sz w:val="24"/>
          <w:szCs w:val="24"/>
        </w:rPr>
      </w:pPr>
      <w:r w:rsidRPr="000E16F0">
        <w:rPr>
          <w:sz w:val="24"/>
          <w:szCs w:val="24"/>
        </w:rPr>
        <w:t xml:space="preserve">A província de </w:t>
      </w:r>
      <w:proofErr w:type="spellStart"/>
      <w:r w:rsidRPr="000E16F0">
        <w:rPr>
          <w:sz w:val="24"/>
          <w:szCs w:val="24"/>
        </w:rPr>
        <w:t>Idlib</w:t>
      </w:r>
      <w:proofErr w:type="spellEnd"/>
      <w:r w:rsidRPr="000E16F0">
        <w:rPr>
          <w:sz w:val="24"/>
          <w:szCs w:val="24"/>
        </w:rPr>
        <w:t xml:space="preserve"> e áreas circundantes continuam a ser o epicentro do confronto entre forças pró-governamentais e grupos armados da oposição, e apesar do cessar-fogo iniciado em 5 de março, os confrontos voltaram a intensificar-se em junho. Também ao longo da fronteira turco-síria foram retomadas as patrulhas militares turco-russas, intensificando-se os confrontos entre as Unidades de Proteção do Povo Curdo, o Exército Nacional Sírio e as forças militares turcas que atuam na área. </w:t>
      </w:r>
    </w:p>
    <w:p w14:paraId="7076BFB0" w14:textId="1DA3A349" w:rsidR="000E16F0" w:rsidRPr="000E16F0" w:rsidRDefault="000E16F0" w:rsidP="000E16F0">
      <w:pPr>
        <w:spacing w:line="276" w:lineRule="auto"/>
        <w:jc w:val="both"/>
        <w:rPr>
          <w:sz w:val="24"/>
          <w:szCs w:val="24"/>
        </w:rPr>
      </w:pPr>
      <w:r w:rsidRPr="000E16F0">
        <w:rPr>
          <w:sz w:val="24"/>
          <w:szCs w:val="24"/>
        </w:rPr>
        <w:t>Com base nas investigações realizadas este ano, o relatório da</w:t>
      </w:r>
      <w:r>
        <w:rPr>
          <w:sz w:val="24"/>
          <w:szCs w:val="24"/>
        </w:rPr>
        <w:t xml:space="preserve"> ONU</w:t>
      </w:r>
      <w:r w:rsidRPr="000E16F0">
        <w:rPr>
          <w:sz w:val="24"/>
          <w:szCs w:val="24"/>
        </w:rPr>
        <w:t xml:space="preserve"> denuncia os horrores infligidos pelo governo sírio aos seus cidadãos. Tortura, violência sexual, pilhagens detenções arbitrárias, morte de civis em ataques sem objetivos militares definidos, desaparecimentos forçados ou condições de detenção desumanas são alguns dos crimes contra a humanidade apontados pela Comissão de Inquérito. </w:t>
      </w:r>
    </w:p>
    <w:p w14:paraId="16A4AE8A" w14:textId="4C23FC96" w:rsidR="000E16F0" w:rsidRPr="000E16F0" w:rsidRDefault="000E16F0" w:rsidP="000E16F0">
      <w:pPr>
        <w:spacing w:line="276" w:lineRule="auto"/>
        <w:jc w:val="both"/>
        <w:rPr>
          <w:sz w:val="24"/>
          <w:szCs w:val="24"/>
        </w:rPr>
      </w:pPr>
      <w:r w:rsidRPr="000E16F0">
        <w:rPr>
          <w:sz w:val="24"/>
          <w:szCs w:val="24"/>
        </w:rPr>
        <w:t xml:space="preserve">Também os alegados abusos ocorridos em zonas com presença militar turca começaram a ser formalmente documentados e investigados pelas Nações Unidas, nomeadamente pela ação de brigadas militares turcas que operam em conjunto com o Exército Nacional Sírio, acusados de extorsão organizada, saques, expropriação de propriedades, violação, sequestro e assassinato. Alguns destes crimes foram registados em </w:t>
      </w:r>
      <w:proofErr w:type="spellStart"/>
      <w:r w:rsidRPr="000E16F0">
        <w:rPr>
          <w:sz w:val="24"/>
          <w:szCs w:val="24"/>
        </w:rPr>
        <w:t>Afrin</w:t>
      </w:r>
      <w:proofErr w:type="spellEnd"/>
      <w:r w:rsidRPr="000E16F0">
        <w:rPr>
          <w:sz w:val="24"/>
          <w:szCs w:val="24"/>
        </w:rPr>
        <w:t>, o enclave de maioria curda que foi ocupado pelas forças turcas em janeiro de 2018.</w:t>
      </w:r>
    </w:p>
    <w:p w14:paraId="46C89151" w14:textId="139FA3F3" w:rsidR="000E16F0" w:rsidRPr="000E16F0" w:rsidRDefault="000E16F0" w:rsidP="000E16F0">
      <w:pPr>
        <w:spacing w:line="276" w:lineRule="auto"/>
        <w:jc w:val="both"/>
        <w:rPr>
          <w:sz w:val="24"/>
          <w:szCs w:val="24"/>
        </w:rPr>
      </w:pPr>
      <w:r w:rsidRPr="000E16F0">
        <w:rPr>
          <w:sz w:val="24"/>
          <w:szCs w:val="24"/>
        </w:rPr>
        <w:t xml:space="preserve">O agravamento da crise económica, o impacto das sanções, as consequências da pandemia de COVID-19 e a intensificação do conflito militar em algumas zonas do território tornam as condições de vida na Síria ainda mais deploráveis e desumanas, situação que não deve, nem pode cair no esquecimento. </w:t>
      </w:r>
    </w:p>
    <w:p w14:paraId="7E1FA37F" w14:textId="77777777" w:rsidR="000E16F0" w:rsidRDefault="000E16F0" w:rsidP="000E16F0">
      <w:pPr>
        <w:spacing w:line="276" w:lineRule="auto"/>
        <w:jc w:val="both"/>
        <w:rPr>
          <w:sz w:val="24"/>
          <w:szCs w:val="24"/>
        </w:rPr>
      </w:pPr>
    </w:p>
    <w:p w14:paraId="177B9836" w14:textId="1ED03DC5" w:rsidR="000E16F0" w:rsidRPr="000E16F0" w:rsidRDefault="000E16F0" w:rsidP="000E16F0">
      <w:pPr>
        <w:spacing w:line="276" w:lineRule="auto"/>
        <w:jc w:val="both"/>
        <w:rPr>
          <w:sz w:val="24"/>
          <w:szCs w:val="24"/>
        </w:rPr>
      </w:pPr>
      <w:r w:rsidRPr="000E16F0">
        <w:rPr>
          <w:sz w:val="24"/>
          <w:szCs w:val="24"/>
        </w:rPr>
        <w:t>Assim, a Assembleia da República:</w:t>
      </w:r>
    </w:p>
    <w:p w14:paraId="7B8B038A" w14:textId="0A0F14A6" w:rsidR="000E16F0" w:rsidRPr="000E16F0" w:rsidRDefault="000E16F0" w:rsidP="000E16F0">
      <w:pPr>
        <w:spacing w:line="276" w:lineRule="auto"/>
        <w:jc w:val="both"/>
        <w:rPr>
          <w:sz w:val="24"/>
          <w:szCs w:val="24"/>
        </w:rPr>
      </w:pPr>
      <w:r w:rsidRPr="000E16F0">
        <w:rPr>
          <w:sz w:val="24"/>
          <w:szCs w:val="24"/>
        </w:rPr>
        <w:lastRenderedPageBreak/>
        <w:t xml:space="preserve">1 – Manifesta preocupação para com a degradação das condições humanitárias na Síria e apela a todas as partes </w:t>
      </w:r>
      <w:r>
        <w:rPr>
          <w:sz w:val="24"/>
          <w:szCs w:val="24"/>
        </w:rPr>
        <w:t>d</w:t>
      </w:r>
      <w:r w:rsidRPr="000E16F0">
        <w:rPr>
          <w:sz w:val="24"/>
          <w:szCs w:val="24"/>
        </w:rPr>
        <w:t xml:space="preserve">o conflito e à comunidade internacional que </w:t>
      </w:r>
      <w:r>
        <w:rPr>
          <w:sz w:val="24"/>
          <w:szCs w:val="24"/>
        </w:rPr>
        <w:t>assegurem</w:t>
      </w:r>
      <w:r w:rsidRPr="000E16F0">
        <w:rPr>
          <w:sz w:val="24"/>
          <w:szCs w:val="24"/>
        </w:rPr>
        <w:t xml:space="preserve"> o acesso à ajuda humanitária e à proteção dos direitos humanos em </w:t>
      </w:r>
      <w:r>
        <w:rPr>
          <w:sz w:val="24"/>
          <w:szCs w:val="24"/>
        </w:rPr>
        <w:t xml:space="preserve">todo </w:t>
      </w:r>
      <w:r w:rsidRPr="000E16F0">
        <w:rPr>
          <w:sz w:val="24"/>
          <w:szCs w:val="24"/>
        </w:rPr>
        <w:t>o território, incluindo locais de confinamento ou detenção;</w:t>
      </w:r>
    </w:p>
    <w:p w14:paraId="27E9CD82" w14:textId="77777777" w:rsidR="000E16F0" w:rsidRDefault="000E16F0" w:rsidP="000E16F0">
      <w:pPr>
        <w:spacing w:line="276" w:lineRule="auto"/>
        <w:jc w:val="both"/>
        <w:rPr>
          <w:sz w:val="24"/>
          <w:szCs w:val="24"/>
        </w:rPr>
      </w:pPr>
    </w:p>
    <w:p w14:paraId="1F13C09E" w14:textId="29BBE26A" w:rsidR="000E16F0" w:rsidRPr="000E16F0" w:rsidRDefault="000E16F0" w:rsidP="000E16F0">
      <w:pPr>
        <w:spacing w:line="276" w:lineRule="auto"/>
        <w:jc w:val="both"/>
        <w:rPr>
          <w:sz w:val="24"/>
          <w:szCs w:val="24"/>
        </w:rPr>
      </w:pPr>
      <w:r w:rsidRPr="000E16F0">
        <w:rPr>
          <w:sz w:val="24"/>
          <w:szCs w:val="24"/>
        </w:rPr>
        <w:t>2 – Condena as persistentes ofensivas militares, contínuos crimes contra a humanidade e consequentes violações de direitos humanos perpetradas por diversos atores estatais e não-estatais em território Sírio, tal como descritas no Relatório da Comissão Internacional Independente de Inquérito;</w:t>
      </w:r>
    </w:p>
    <w:p w14:paraId="249FBEA8" w14:textId="77777777" w:rsidR="000E16F0" w:rsidRDefault="000E16F0" w:rsidP="000E16F0">
      <w:pPr>
        <w:spacing w:line="276" w:lineRule="auto"/>
        <w:jc w:val="both"/>
        <w:rPr>
          <w:sz w:val="24"/>
          <w:szCs w:val="24"/>
        </w:rPr>
      </w:pPr>
    </w:p>
    <w:p w14:paraId="53D12E10" w14:textId="4F7DB544" w:rsidR="000E16F0" w:rsidRPr="000E16F0" w:rsidRDefault="000E16F0" w:rsidP="000E16F0">
      <w:pPr>
        <w:spacing w:line="276" w:lineRule="auto"/>
        <w:jc w:val="both"/>
        <w:rPr>
          <w:sz w:val="24"/>
          <w:szCs w:val="24"/>
        </w:rPr>
      </w:pPr>
      <w:r w:rsidRPr="000E16F0">
        <w:rPr>
          <w:sz w:val="24"/>
          <w:szCs w:val="24"/>
        </w:rPr>
        <w:t xml:space="preserve">3 – Apela a um cessar-fogo imediato e duradouro, em cumprimento da Resolução 2254 (2015) do Conselho de Segurança </w:t>
      </w:r>
      <w:r>
        <w:rPr>
          <w:sz w:val="24"/>
          <w:szCs w:val="24"/>
        </w:rPr>
        <w:t>da ONU</w:t>
      </w:r>
      <w:r w:rsidRPr="000E16F0">
        <w:rPr>
          <w:sz w:val="24"/>
          <w:szCs w:val="24"/>
        </w:rPr>
        <w:t xml:space="preserve"> e insta todas as partes </w:t>
      </w:r>
      <w:r>
        <w:rPr>
          <w:sz w:val="24"/>
          <w:szCs w:val="24"/>
        </w:rPr>
        <w:t>d</w:t>
      </w:r>
      <w:r w:rsidRPr="000E16F0">
        <w:rPr>
          <w:sz w:val="24"/>
          <w:szCs w:val="24"/>
        </w:rPr>
        <w:t>o conflito a respeitarem as suas obrigações por força do direito internacional, criando condições para negociações de paz significativas.</w:t>
      </w:r>
    </w:p>
    <w:p w14:paraId="1AE0EC4A" w14:textId="77777777" w:rsidR="000E16F0" w:rsidRPr="000E16F0" w:rsidRDefault="000E16F0" w:rsidP="000E16F0">
      <w:pPr>
        <w:spacing w:line="276" w:lineRule="auto"/>
        <w:jc w:val="both"/>
        <w:rPr>
          <w:sz w:val="24"/>
          <w:szCs w:val="24"/>
        </w:rPr>
      </w:pPr>
    </w:p>
    <w:p w14:paraId="41D58981" w14:textId="106074EF" w:rsidR="000E16F0" w:rsidRPr="000E16F0" w:rsidRDefault="000E16F0" w:rsidP="000E16F0">
      <w:pPr>
        <w:spacing w:line="276" w:lineRule="auto"/>
        <w:jc w:val="both"/>
        <w:rPr>
          <w:sz w:val="24"/>
          <w:szCs w:val="24"/>
        </w:rPr>
      </w:pPr>
      <w:r w:rsidRPr="000E16F0">
        <w:rPr>
          <w:sz w:val="24"/>
          <w:szCs w:val="24"/>
        </w:rPr>
        <w:t xml:space="preserve">Palácio de São Bento, </w:t>
      </w:r>
      <w:r>
        <w:rPr>
          <w:sz w:val="24"/>
          <w:szCs w:val="24"/>
        </w:rPr>
        <w:t>14</w:t>
      </w:r>
      <w:r w:rsidRPr="000E16F0">
        <w:rPr>
          <w:sz w:val="24"/>
          <w:szCs w:val="24"/>
        </w:rPr>
        <w:t xml:space="preserve"> de outubro de 2020</w:t>
      </w:r>
    </w:p>
    <w:p w14:paraId="62B64F57" w14:textId="77777777" w:rsidR="000E16F0" w:rsidRDefault="000E16F0" w:rsidP="000E16F0">
      <w:pPr>
        <w:spacing w:line="276" w:lineRule="auto"/>
        <w:jc w:val="both"/>
        <w:rPr>
          <w:sz w:val="24"/>
          <w:szCs w:val="24"/>
        </w:rPr>
      </w:pPr>
    </w:p>
    <w:p w14:paraId="380903AA" w14:textId="77E9E2FF" w:rsidR="000E16F0" w:rsidRPr="000E16F0" w:rsidRDefault="000E16F0" w:rsidP="000E16F0">
      <w:pPr>
        <w:spacing w:line="276" w:lineRule="auto"/>
        <w:jc w:val="center"/>
        <w:rPr>
          <w:sz w:val="24"/>
          <w:szCs w:val="24"/>
        </w:rPr>
      </w:pPr>
      <w:r w:rsidRPr="000E16F0">
        <w:rPr>
          <w:sz w:val="24"/>
          <w:szCs w:val="24"/>
        </w:rPr>
        <w:t>As Deputadas e os Deputados,</w:t>
      </w:r>
    </w:p>
    <w:p w14:paraId="2F419339" w14:textId="77777777" w:rsidR="000E16F0" w:rsidRDefault="000E16F0" w:rsidP="000E16F0">
      <w:pPr>
        <w:spacing w:line="276" w:lineRule="auto"/>
        <w:jc w:val="center"/>
        <w:rPr>
          <w:sz w:val="24"/>
          <w:szCs w:val="24"/>
        </w:rPr>
      </w:pPr>
    </w:p>
    <w:p w14:paraId="4CDE5684" w14:textId="35DE6125" w:rsidR="000E16F0" w:rsidRPr="000E16F0" w:rsidRDefault="000E16F0" w:rsidP="000E16F0">
      <w:pPr>
        <w:spacing w:line="276" w:lineRule="auto"/>
        <w:jc w:val="center"/>
        <w:rPr>
          <w:sz w:val="24"/>
          <w:szCs w:val="24"/>
        </w:rPr>
      </w:pPr>
      <w:r w:rsidRPr="000E16F0">
        <w:rPr>
          <w:sz w:val="24"/>
          <w:szCs w:val="24"/>
        </w:rPr>
        <w:t>Lara Martinho</w:t>
      </w:r>
    </w:p>
    <w:p w14:paraId="08A9E3EB" w14:textId="77777777" w:rsidR="000E16F0" w:rsidRPr="000E16F0" w:rsidRDefault="000E16F0" w:rsidP="000E16F0">
      <w:pPr>
        <w:spacing w:line="276" w:lineRule="auto"/>
        <w:jc w:val="center"/>
        <w:rPr>
          <w:sz w:val="24"/>
          <w:szCs w:val="24"/>
        </w:rPr>
      </w:pPr>
    </w:p>
    <w:p w14:paraId="7899594D" w14:textId="77777777" w:rsidR="000E16F0" w:rsidRPr="000E16F0" w:rsidRDefault="000E16F0" w:rsidP="000E16F0">
      <w:pPr>
        <w:spacing w:line="276" w:lineRule="auto"/>
        <w:jc w:val="center"/>
        <w:rPr>
          <w:sz w:val="24"/>
          <w:szCs w:val="24"/>
        </w:rPr>
      </w:pPr>
      <w:r w:rsidRPr="000E16F0">
        <w:rPr>
          <w:sz w:val="24"/>
          <w:szCs w:val="24"/>
        </w:rPr>
        <w:t>Paulo Pisco</w:t>
      </w:r>
    </w:p>
    <w:p w14:paraId="2E03E240" w14:textId="77777777" w:rsidR="000E16F0" w:rsidRPr="000E16F0" w:rsidRDefault="000E16F0" w:rsidP="000E16F0">
      <w:pPr>
        <w:spacing w:line="276" w:lineRule="auto"/>
        <w:jc w:val="center"/>
        <w:rPr>
          <w:sz w:val="24"/>
          <w:szCs w:val="24"/>
        </w:rPr>
      </w:pPr>
    </w:p>
    <w:p w14:paraId="660B6DB7" w14:textId="77777777" w:rsidR="000E16F0" w:rsidRPr="000E16F0" w:rsidRDefault="000E16F0" w:rsidP="000E16F0">
      <w:pPr>
        <w:spacing w:line="276" w:lineRule="auto"/>
        <w:jc w:val="center"/>
        <w:rPr>
          <w:sz w:val="24"/>
          <w:szCs w:val="24"/>
        </w:rPr>
      </w:pPr>
      <w:r w:rsidRPr="000E16F0">
        <w:rPr>
          <w:sz w:val="24"/>
          <w:szCs w:val="24"/>
        </w:rPr>
        <w:t>Diogo Leão</w:t>
      </w:r>
    </w:p>
    <w:p w14:paraId="5F7CF5B9" w14:textId="77777777" w:rsidR="000E16F0" w:rsidRPr="000E16F0" w:rsidRDefault="000E16F0" w:rsidP="000E16F0">
      <w:pPr>
        <w:spacing w:line="276" w:lineRule="auto"/>
        <w:jc w:val="center"/>
        <w:rPr>
          <w:sz w:val="24"/>
          <w:szCs w:val="24"/>
        </w:rPr>
      </w:pPr>
    </w:p>
    <w:p w14:paraId="57EB97CB" w14:textId="77777777" w:rsidR="000E16F0" w:rsidRPr="000E16F0" w:rsidRDefault="000E16F0" w:rsidP="000E16F0">
      <w:pPr>
        <w:spacing w:line="276" w:lineRule="auto"/>
        <w:jc w:val="center"/>
        <w:rPr>
          <w:sz w:val="24"/>
          <w:szCs w:val="24"/>
        </w:rPr>
      </w:pPr>
      <w:r w:rsidRPr="000E16F0">
        <w:rPr>
          <w:sz w:val="24"/>
          <w:szCs w:val="24"/>
        </w:rPr>
        <w:t>José Luís Carneiro</w:t>
      </w:r>
    </w:p>
    <w:p w14:paraId="042B1B92" w14:textId="77777777" w:rsidR="000E16F0" w:rsidRPr="000E16F0" w:rsidRDefault="000E16F0" w:rsidP="000E16F0">
      <w:pPr>
        <w:spacing w:line="276" w:lineRule="auto"/>
        <w:jc w:val="center"/>
        <w:rPr>
          <w:sz w:val="24"/>
          <w:szCs w:val="24"/>
        </w:rPr>
      </w:pPr>
    </w:p>
    <w:p w14:paraId="04CD54D5" w14:textId="77777777" w:rsidR="000E16F0" w:rsidRPr="000E16F0" w:rsidRDefault="000E16F0" w:rsidP="000E16F0">
      <w:pPr>
        <w:spacing w:line="276" w:lineRule="auto"/>
        <w:jc w:val="center"/>
        <w:rPr>
          <w:sz w:val="24"/>
          <w:szCs w:val="24"/>
        </w:rPr>
      </w:pPr>
      <w:r w:rsidRPr="000E16F0">
        <w:rPr>
          <w:sz w:val="24"/>
          <w:szCs w:val="24"/>
        </w:rPr>
        <w:t>Carlos Brás</w:t>
      </w:r>
    </w:p>
    <w:p w14:paraId="543C29F9" w14:textId="77777777" w:rsidR="000E16F0" w:rsidRPr="000E16F0" w:rsidRDefault="000E16F0" w:rsidP="000E16F0">
      <w:pPr>
        <w:spacing w:line="276" w:lineRule="auto"/>
        <w:jc w:val="center"/>
        <w:rPr>
          <w:sz w:val="24"/>
          <w:szCs w:val="24"/>
        </w:rPr>
      </w:pPr>
    </w:p>
    <w:p w14:paraId="232310F2" w14:textId="77777777" w:rsidR="000E16F0" w:rsidRPr="000E16F0" w:rsidRDefault="000E16F0" w:rsidP="000E16F0">
      <w:pPr>
        <w:spacing w:line="276" w:lineRule="auto"/>
        <w:jc w:val="center"/>
        <w:rPr>
          <w:sz w:val="24"/>
          <w:szCs w:val="24"/>
        </w:rPr>
      </w:pPr>
      <w:r w:rsidRPr="000E16F0">
        <w:rPr>
          <w:sz w:val="24"/>
          <w:szCs w:val="24"/>
        </w:rPr>
        <w:t>Jorge Gomes</w:t>
      </w:r>
    </w:p>
    <w:p w14:paraId="134DE570" w14:textId="77777777" w:rsidR="000E16F0" w:rsidRPr="000E16F0" w:rsidRDefault="000E16F0" w:rsidP="000E16F0">
      <w:pPr>
        <w:spacing w:line="276" w:lineRule="auto"/>
        <w:jc w:val="center"/>
        <w:rPr>
          <w:sz w:val="24"/>
          <w:szCs w:val="24"/>
        </w:rPr>
      </w:pPr>
    </w:p>
    <w:p w14:paraId="2E67C524" w14:textId="77777777" w:rsidR="000E16F0" w:rsidRPr="000E16F0" w:rsidRDefault="000E16F0" w:rsidP="000E16F0">
      <w:pPr>
        <w:spacing w:line="276" w:lineRule="auto"/>
        <w:jc w:val="center"/>
        <w:rPr>
          <w:sz w:val="24"/>
          <w:szCs w:val="24"/>
        </w:rPr>
      </w:pPr>
      <w:r w:rsidRPr="000E16F0">
        <w:rPr>
          <w:sz w:val="24"/>
          <w:szCs w:val="24"/>
        </w:rPr>
        <w:t>Isabel Oneto</w:t>
      </w:r>
    </w:p>
    <w:p w14:paraId="5E02CC8B" w14:textId="77777777" w:rsidR="000E16F0" w:rsidRPr="000E16F0" w:rsidRDefault="000E16F0" w:rsidP="000E16F0">
      <w:pPr>
        <w:spacing w:line="276" w:lineRule="auto"/>
        <w:jc w:val="center"/>
        <w:rPr>
          <w:sz w:val="24"/>
          <w:szCs w:val="24"/>
        </w:rPr>
      </w:pPr>
    </w:p>
    <w:p w14:paraId="2C6DE1DD" w14:textId="77777777" w:rsidR="000E16F0" w:rsidRPr="000E16F0" w:rsidRDefault="000E16F0" w:rsidP="000E16F0">
      <w:pPr>
        <w:spacing w:line="276" w:lineRule="auto"/>
        <w:jc w:val="center"/>
        <w:rPr>
          <w:sz w:val="24"/>
          <w:szCs w:val="24"/>
        </w:rPr>
      </w:pPr>
      <w:r w:rsidRPr="000E16F0">
        <w:rPr>
          <w:sz w:val="24"/>
          <w:szCs w:val="24"/>
        </w:rPr>
        <w:t>Maria Joaquina Matos</w:t>
      </w:r>
    </w:p>
    <w:p w14:paraId="0E7EAE4F" w14:textId="77777777" w:rsidR="000E16F0" w:rsidRPr="000E16F0" w:rsidRDefault="000E16F0" w:rsidP="000E16F0">
      <w:pPr>
        <w:spacing w:line="276" w:lineRule="auto"/>
        <w:jc w:val="center"/>
        <w:rPr>
          <w:sz w:val="24"/>
          <w:szCs w:val="24"/>
        </w:rPr>
      </w:pPr>
    </w:p>
    <w:p w14:paraId="2CF1CA11" w14:textId="77777777" w:rsidR="000E16F0" w:rsidRPr="000E16F0" w:rsidRDefault="000E16F0" w:rsidP="000E16F0">
      <w:pPr>
        <w:spacing w:line="276" w:lineRule="auto"/>
        <w:jc w:val="center"/>
        <w:rPr>
          <w:sz w:val="24"/>
          <w:szCs w:val="24"/>
        </w:rPr>
      </w:pPr>
      <w:r w:rsidRPr="000E16F0">
        <w:rPr>
          <w:sz w:val="24"/>
          <w:szCs w:val="24"/>
        </w:rPr>
        <w:t>Maria da Luz Rosinha</w:t>
      </w:r>
    </w:p>
    <w:p w14:paraId="52E1BEF3" w14:textId="77777777" w:rsidR="000E16F0" w:rsidRPr="000E16F0" w:rsidRDefault="000E16F0" w:rsidP="000E16F0">
      <w:pPr>
        <w:spacing w:line="276" w:lineRule="auto"/>
        <w:jc w:val="center"/>
        <w:rPr>
          <w:sz w:val="24"/>
          <w:szCs w:val="24"/>
        </w:rPr>
      </w:pPr>
    </w:p>
    <w:p w14:paraId="396742C6" w14:textId="77777777" w:rsidR="000E16F0" w:rsidRPr="000E16F0" w:rsidRDefault="000E16F0" w:rsidP="000E16F0">
      <w:pPr>
        <w:spacing w:line="276" w:lineRule="auto"/>
        <w:jc w:val="center"/>
        <w:rPr>
          <w:sz w:val="24"/>
          <w:szCs w:val="24"/>
        </w:rPr>
      </w:pPr>
      <w:r w:rsidRPr="000E16F0">
        <w:rPr>
          <w:sz w:val="24"/>
          <w:szCs w:val="24"/>
        </w:rPr>
        <w:t>Raúl Castro</w:t>
      </w:r>
    </w:p>
    <w:p w14:paraId="49797F3E" w14:textId="77777777" w:rsidR="000E16F0" w:rsidRPr="000E16F0" w:rsidRDefault="000E16F0" w:rsidP="000E16F0">
      <w:pPr>
        <w:spacing w:line="276" w:lineRule="auto"/>
        <w:jc w:val="center"/>
        <w:rPr>
          <w:sz w:val="24"/>
          <w:szCs w:val="24"/>
        </w:rPr>
      </w:pPr>
    </w:p>
    <w:p w14:paraId="55135B24" w14:textId="77777777" w:rsidR="000E16F0" w:rsidRPr="000E16F0" w:rsidRDefault="000E16F0" w:rsidP="000E16F0">
      <w:pPr>
        <w:spacing w:line="276" w:lineRule="auto"/>
        <w:jc w:val="center"/>
        <w:rPr>
          <w:sz w:val="24"/>
          <w:szCs w:val="24"/>
        </w:rPr>
      </w:pPr>
      <w:r w:rsidRPr="000E16F0">
        <w:rPr>
          <w:sz w:val="24"/>
          <w:szCs w:val="24"/>
        </w:rPr>
        <w:t>Pedro Sousa</w:t>
      </w:r>
    </w:p>
    <w:p w14:paraId="629C6A50" w14:textId="77777777" w:rsidR="000E16F0" w:rsidRPr="000E16F0" w:rsidRDefault="000E16F0" w:rsidP="000E16F0">
      <w:pPr>
        <w:spacing w:line="276" w:lineRule="auto"/>
        <w:jc w:val="center"/>
        <w:rPr>
          <w:sz w:val="24"/>
          <w:szCs w:val="24"/>
        </w:rPr>
      </w:pPr>
    </w:p>
    <w:p w14:paraId="25A77108" w14:textId="77777777" w:rsidR="000E16F0" w:rsidRPr="000E16F0" w:rsidRDefault="000E16F0" w:rsidP="000E16F0">
      <w:pPr>
        <w:spacing w:line="276" w:lineRule="auto"/>
        <w:jc w:val="center"/>
        <w:rPr>
          <w:sz w:val="24"/>
          <w:szCs w:val="24"/>
        </w:rPr>
      </w:pPr>
      <w:r w:rsidRPr="000E16F0">
        <w:rPr>
          <w:sz w:val="24"/>
          <w:szCs w:val="24"/>
        </w:rPr>
        <w:t>Manuel dos Santos Afonso</w:t>
      </w:r>
    </w:p>
    <w:p w14:paraId="23A7FDF3" w14:textId="77777777" w:rsidR="000E16F0" w:rsidRPr="000E16F0" w:rsidRDefault="000E16F0" w:rsidP="000E16F0">
      <w:pPr>
        <w:spacing w:line="276" w:lineRule="auto"/>
        <w:jc w:val="center"/>
        <w:rPr>
          <w:sz w:val="24"/>
          <w:szCs w:val="24"/>
        </w:rPr>
      </w:pPr>
    </w:p>
    <w:p w14:paraId="2C2D3F47" w14:textId="7EC61609" w:rsidR="00A90975" w:rsidRPr="000E16F0" w:rsidRDefault="000E16F0" w:rsidP="000E16F0">
      <w:pPr>
        <w:spacing w:line="276" w:lineRule="auto"/>
        <w:jc w:val="center"/>
        <w:rPr>
          <w:sz w:val="24"/>
          <w:szCs w:val="24"/>
        </w:rPr>
      </w:pPr>
      <w:r w:rsidRPr="000E16F0">
        <w:rPr>
          <w:sz w:val="24"/>
          <w:szCs w:val="24"/>
        </w:rPr>
        <w:t>Hugo Oliveira</w:t>
      </w:r>
    </w:p>
    <w:sectPr w:rsidR="00A90975" w:rsidRPr="000E16F0" w:rsidSect="000E16F0">
      <w:headerReference w:type="default" r:id="rId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FD07" w14:textId="77777777" w:rsidR="008A6616" w:rsidRDefault="008A6616" w:rsidP="00262FD7">
      <w:pPr>
        <w:spacing w:after="0" w:line="240" w:lineRule="auto"/>
      </w:pPr>
      <w:r>
        <w:separator/>
      </w:r>
    </w:p>
  </w:endnote>
  <w:endnote w:type="continuationSeparator" w:id="0">
    <w:p w14:paraId="11063F15" w14:textId="77777777" w:rsidR="008A6616" w:rsidRDefault="008A6616" w:rsidP="0026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FFED" w14:textId="77777777" w:rsidR="008A6616" w:rsidRDefault="008A6616" w:rsidP="00262FD7">
      <w:pPr>
        <w:spacing w:after="0" w:line="240" w:lineRule="auto"/>
      </w:pPr>
      <w:r>
        <w:separator/>
      </w:r>
    </w:p>
  </w:footnote>
  <w:footnote w:type="continuationSeparator" w:id="0">
    <w:p w14:paraId="3A2BB525" w14:textId="77777777" w:rsidR="008A6616" w:rsidRDefault="008A6616" w:rsidP="00262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3A82" w14:textId="3D7CA97D" w:rsidR="000E16F0" w:rsidRDefault="000E16F0" w:rsidP="008412FA">
    <w:pPr>
      <w:rPr>
        <w:rFonts w:ascii="Garamond" w:hAnsi="Garamond" w:cs="Times New Roman"/>
        <w:spacing w:val="30"/>
        <w:sz w:val="20"/>
        <w:szCs w:val="20"/>
      </w:rPr>
    </w:pPr>
    <w:r>
      <w:rPr>
        <w:noProof/>
      </w:rPr>
      <w:drawing>
        <wp:anchor distT="0" distB="0" distL="114300" distR="114300" simplePos="0" relativeHeight="251658240" behindDoc="1" locked="0" layoutInCell="1" allowOverlap="1" wp14:anchorId="057ADE22" wp14:editId="727F05B6">
          <wp:simplePos x="0" y="0"/>
          <wp:positionH relativeFrom="page">
            <wp:align>center</wp:align>
          </wp:positionH>
          <wp:positionV relativeFrom="paragraph">
            <wp:posOffset>10160</wp:posOffset>
          </wp:positionV>
          <wp:extent cx="1075055" cy="937260"/>
          <wp:effectExtent l="0" t="0" r="0" b="0"/>
          <wp:wrapTight wrapText="bothSides">
            <wp:wrapPolygon edited="0">
              <wp:start x="0" y="0"/>
              <wp:lineTo x="0" y="12293"/>
              <wp:lineTo x="1148" y="14927"/>
              <wp:lineTo x="3062" y="14927"/>
              <wp:lineTo x="6890" y="20195"/>
              <wp:lineTo x="7272" y="21073"/>
              <wp:lineTo x="9569" y="21073"/>
              <wp:lineTo x="12248" y="20195"/>
              <wp:lineTo x="15693" y="17122"/>
              <wp:lineTo x="15310" y="14927"/>
              <wp:lineTo x="19520" y="14927"/>
              <wp:lineTo x="21051" y="13171"/>
              <wp:lineTo x="21051" y="1756"/>
              <wp:lineTo x="19520" y="878"/>
              <wp:lineTo x="8803" y="0"/>
              <wp:lineTo x="0" y="0"/>
            </wp:wrapPolygon>
          </wp:wrapTight>
          <wp:docPr id="10" name="Imagem 10"/>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A8AD9" w14:textId="77777777" w:rsidR="000E16F0" w:rsidRDefault="000E16F0" w:rsidP="008412FA">
    <w:pPr>
      <w:rPr>
        <w:rFonts w:ascii="Garamond" w:hAnsi="Garamond" w:cs="Times New Roman"/>
        <w:spacing w:val="30"/>
        <w:sz w:val="20"/>
        <w:szCs w:val="20"/>
      </w:rPr>
    </w:pPr>
  </w:p>
  <w:p w14:paraId="16EC5227" w14:textId="77777777" w:rsidR="000E16F0" w:rsidRDefault="000E16F0" w:rsidP="008412FA">
    <w:pPr>
      <w:rPr>
        <w:rFonts w:ascii="Garamond" w:hAnsi="Garamond" w:cs="Times New Roman"/>
        <w:spacing w:val="30"/>
        <w:sz w:val="20"/>
        <w:szCs w:val="20"/>
      </w:rPr>
    </w:pPr>
  </w:p>
  <w:p w14:paraId="5AF02634" w14:textId="77777777" w:rsidR="000E16F0" w:rsidRDefault="000E16F0" w:rsidP="008412FA">
    <w:pPr>
      <w:rPr>
        <w:rFonts w:ascii="Garamond" w:hAnsi="Garamond" w:cs="Times New Roman"/>
        <w:spacing w:val="30"/>
        <w:sz w:val="20"/>
        <w:szCs w:val="20"/>
      </w:rPr>
    </w:pPr>
  </w:p>
  <w:p w14:paraId="4BFB9BDC" w14:textId="4B169C72" w:rsidR="00262FD7" w:rsidRPr="00262FD7" w:rsidRDefault="00262FD7" w:rsidP="008412FA">
    <w:pPr>
      <w:rPr>
        <w:rFonts w:ascii="Garamond" w:hAnsi="Garamond" w:cs="Times New Roman"/>
        <w:spacing w:val="3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51"/>
    <w:rsid w:val="00086B07"/>
    <w:rsid w:val="000B3205"/>
    <w:rsid w:val="000E16F0"/>
    <w:rsid w:val="000F40A5"/>
    <w:rsid w:val="00147982"/>
    <w:rsid w:val="00147FA2"/>
    <w:rsid w:val="00215A54"/>
    <w:rsid w:val="002349AA"/>
    <w:rsid w:val="00262FD7"/>
    <w:rsid w:val="002B0709"/>
    <w:rsid w:val="0033671C"/>
    <w:rsid w:val="00340F2A"/>
    <w:rsid w:val="003A6AC4"/>
    <w:rsid w:val="005B7B68"/>
    <w:rsid w:val="005E5E25"/>
    <w:rsid w:val="005F5742"/>
    <w:rsid w:val="0061097A"/>
    <w:rsid w:val="00647DBB"/>
    <w:rsid w:val="0068523D"/>
    <w:rsid w:val="006951D5"/>
    <w:rsid w:val="006E4DD5"/>
    <w:rsid w:val="00713E43"/>
    <w:rsid w:val="007C1039"/>
    <w:rsid w:val="007E2178"/>
    <w:rsid w:val="007F07CF"/>
    <w:rsid w:val="00830E9F"/>
    <w:rsid w:val="008412FA"/>
    <w:rsid w:val="00847108"/>
    <w:rsid w:val="008A20FA"/>
    <w:rsid w:val="008A6616"/>
    <w:rsid w:val="008B49CF"/>
    <w:rsid w:val="008F4A08"/>
    <w:rsid w:val="00915B40"/>
    <w:rsid w:val="00A135BB"/>
    <w:rsid w:val="00A61E17"/>
    <w:rsid w:val="00A6483E"/>
    <w:rsid w:val="00A90975"/>
    <w:rsid w:val="00AA4C09"/>
    <w:rsid w:val="00AB2B51"/>
    <w:rsid w:val="00AB5049"/>
    <w:rsid w:val="00AE1C5D"/>
    <w:rsid w:val="00B22345"/>
    <w:rsid w:val="00B24070"/>
    <w:rsid w:val="00B5408C"/>
    <w:rsid w:val="00B60E6E"/>
    <w:rsid w:val="00B86650"/>
    <w:rsid w:val="00BC1DD6"/>
    <w:rsid w:val="00C30328"/>
    <w:rsid w:val="00C32F07"/>
    <w:rsid w:val="00CD5FB5"/>
    <w:rsid w:val="00D629F6"/>
    <w:rsid w:val="00D74299"/>
    <w:rsid w:val="00DC544C"/>
    <w:rsid w:val="00DC7795"/>
    <w:rsid w:val="00E26B63"/>
    <w:rsid w:val="00E62181"/>
    <w:rsid w:val="00EA4F64"/>
    <w:rsid w:val="00F33A11"/>
    <w:rsid w:val="00F45A77"/>
    <w:rsid w:val="00F9255D"/>
    <w:rsid w:val="00FC1618"/>
    <w:rsid w:val="00FE65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C152"/>
  <w15:chartTrackingRefBased/>
  <w15:docId w15:val="{AE9C4947-8DBC-4B68-86D0-05E7D44A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D7"/>
    <w:pPr>
      <w:spacing w:line="256" w:lineRule="auto"/>
    </w:pPr>
  </w:style>
  <w:style w:type="paragraph" w:styleId="Ttulo2">
    <w:name w:val="heading 2"/>
    <w:basedOn w:val="Normal"/>
    <w:link w:val="Ttulo2Carter"/>
    <w:uiPriority w:val="9"/>
    <w:qFormat/>
    <w:rsid w:val="00F33A11"/>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2FD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2FD7"/>
  </w:style>
  <w:style w:type="paragraph" w:styleId="Rodap">
    <w:name w:val="footer"/>
    <w:basedOn w:val="Normal"/>
    <w:link w:val="RodapCarter"/>
    <w:uiPriority w:val="99"/>
    <w:unhideWhenUsed/>
    <w:rsid w:val="00262FD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2FD7"/>
  </w:style>
  <w:style w:type="paragraph" w:styleId="NormalWeb">
    <w:name w:val="Normal (Web)"/>
    <w:basedOn w:val="Normal"/>
    <w:uiPriority w:val="99"/>
    <w:semiHidden/>
    <w:unhideWhenUsed/>
    <w:rsid w:val="00147FA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2Carter">
    <w:name w:val="Título 2 Caráter"/>
    <w:basedOn w:val="Tipodeletrapredefinidodopargrafo"/>
    <w:link w:val="Ttulo2"/>
    <w:uiPriority w:val="9"/>
    <w:rsid w:val="00F33A11"/>
    <w:rPr>
      <w:rFonts w:ascii="Times New Roman" w:eastAsia="Times New Roman" w:hAnsi="Times New Roman" w:cs="Times New Roman"/>
      <w:b/>
      <w:bCs/>
      <w:sz w:val="36"/>
      <w:szCs w:val="3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859">
      <w:bodyDiv w:val="1"/>
      <w:marLeft w:val="0"/>
      <w:marRight w:val="0"/>
      <w:marTop w:val="0"/>
      <w:marBottom w:val="0"/>
      <w:divBdr>
        <w:top w:val="none" w:sz="0" w:space="0" w:color="auto"/>
        <w:left w:val="none" w:sz="0" w:space="0" w:color="auto"/>
        <w:bottom w:val="none" w:sz="0" w:space="0" w:color="auto"/>
        <w:right w:val="none" w:sz="0" w:space="0" w:color="auto"/>
      </w:divBdr>
    </w:div>
    <w:div w:id="176889441">
      <w:bodyDiv w:val="1"/>
      <w:marLeft w:val="0"/>
      <w:marRight w:val="0"/>
      <w:marTop w:val="0"/>
      <w:marBottom w:val="0"/>
      <w:divBdr>
        <w:top w:val="none" w:sz="0" w:space="0" w:color="auto"/>
        <w:left w:val="none" w:sz="0" w:space="0" w:color="auto"/>
        <w:bottom w:val="none" w:sz="0" w:space="0" w:color="auto"/>
        <w:right w:val="none" w:sz="0" w:space="0" w:color="auto"/>
      </w:divBdr>
    </w:div>
    <w:div w:id="472873136">
      <w:bodyDiv w:val="1"/>
      <w:marLeft w:val="0"/>
      <w:marRight w:val="0"/>
      <w:marTop w:val="0"/>
      <w:marBottom w:val="0"/>
      <w:divBdr>
        <w:top w:val="none" w:sz="0" w:space="0" w:color="auto"/>
        <w:left w:val="none" w:sz="0" w:space="0" w:color="auto"/>
        <w:bottom w:val="none" w:sz="0" w:space="0" w:color="auto"/>
        <w:right w:val="none" w:sz="0" w:space="0" w:color="auto"/>
      </w:divBdr>
    </w:div>
    <w:div w:id="1408110184">
      <w:bodyDiv w:val="1"/>
      <w:marLeft w:val="0"/>
      <w:marRight w:val="0"/>
      <w:marTop w:val="0"/>
      <w:marBottom w:val="0"/>
      <w:divBdr>
        <w:top w:val="none" w:sz="0" w:space="0" w:color="auto"/>
        <w:left w:val="none" w:sz="0" w:space="0" w:color="auto"/>
        <w:bottom w:val="none" w:sz="0" w:space="0" w:color="auto"/>
        <w:right w:val="none" w:sz="0" w:space="0" w:color="auto"/>
      </w:divBdr>
    </w:div>
    <w:div w:id="20645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 xsi:nil="true"/>
    <Legislatura xmlns="811b5d06-fec1-4dad-b9db-e7bbb2726bab">XIV</Legislatura>
    <PublicarInternet xmlns="811b5d06-fec1-4dad-b9db-e7bbb2726bab">true</PublicarInternet>
    <DesignacaoTipoActividade xmlns="811b5d06-fec1-4dad-b9db-e7bbb2726bab" xsi:nil="true"/>
    <DataDocumento xmlns="811b5d06-fec1-4dad-b9db-e7bbb2726bab">2020-10-14T23:00:00+00:00</DataDocumento>
    <Assunto xmlns="811b5d06-fec1-4dad-b9db-e7bbb2726bab" xsi:nil="true"/>
    <SubTipoActividade xmlns="811b5d06-fec1-4dad-b9db-e7bbb2726bab" xsi:nil="true"/>
    <TipoActividade xmlns="811b5d06-fec1-4dad-b9db-e7bbb2726bab">VOT</TipoActividade>
    <TipoDocumento xmlns="811b5d06-fec1-4dad-b9db-e7bbb2726bab">Texto</TipoDocumento>
    <IDActividade xmlns="811b5d06-fec1-4dad-b9db-e7bbb2726bab">115971</IDActividade>
    <Sessao xmlns="811b5d06-fec1-4dad-b9db-e7bbb2726bab">2ª</Sessao>
    <NROrdem xmlns="811b5d06-fec1-4dad-b9db-e7bbb2726bab">0</NROrdem>
  </documentManagement>
</p:properties>
</file>

<file path=customXml/itemProps1.xml><?xml version="1.0" encoding="utf-8"?>
<ds:datastoreItem xmlns:ds="http://schemas.openxmlformats.org/officeDocument/2006/customXml" ds:itemID="{B2548141-966C-4022-B488-33C76873AC0B}"/>
</file>

<file path=customXml/itemProps2.xml><?xml version="1.0" encoding="utf-8"?>
<ds:datastoreItem xmlns:ds="http://schemas.openxmlformats.org/officeDocument/2006/customXml" ds:itemID="{A79C4D88-0E6C-4980-88CA-7156966697DF}"/>
</file>

<file path=customXml/itemProps3.xml><?xml version="1.0" encoding="utf-8"?>
<ds:datastoreItem xmlns:ds="http://schemas.openxmlformats.org/officeDocument/2006/customXml" ds:itemID="{79AE710F-E614-457E-8856-48D3C3398484}"/>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2846</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preocupação (PS) -De Preocupação pelo agravamento da situação humanitária e violação de direitos humanos na Síria</dc:title>
  <dc:subject/>
  <dc:creator>Rodrigo Oliveira</dc:creator>
  <cp:keywords/>
  <dc:description/>
  <cp:lastModifiedBy>Prudência Cardoso</cp:lastModifiedBy>
  <cp:revision>2</cp:revision>
  <dcterms:created xsi:type="dcterms:W3CDTF">2020-10-15T15:43:00Z</dcterms:created>
  <dcterms:modified xsi:type="dcterms:W3CDTF">2020-10-15T15:43:00Z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55400</vt:r8>
  </property>
</Properties>
</file>