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F5" w:rsidRPr="00B40DF5" w:rsidRDefault="00B40DF5" w:rsidP="005233CA">
      <w:pPr>
        <w:spacing w:line="360" w:lineRule="auto"/>
        <w:jc w:val="center"/>
        <w:rPr>
          <w:b/>
        </w:rPr>
      </w:pPr>
      <w:bookmarkStart w:id="0" w:name="_GoBack"/>
      <w:bookmarkEnd w:id="0"/>
      <w:r w:rsidRPr="00B40DF5">
        <w:rPr>
          <w:b/>
        </w:rPr>
        <w:t>Proposta de Lei 123/XIII</w:t>
      </w:r>
    </w:p>
    <w:p w:rsidR="00F12A71" w:rsidRDefault="00B40DF5" w:rsidP="005233CA">
      <w:pPr>
        <w:spacing w:line="360" w:lineRule="auto"/>
        <w:jc w:val="center"/>
        <w:rPr>
          <w:b/>
        </w:rPr>
      </w:pPr>
      <w:r w:rsidRPr="00B40DF5">
        <w:rPr>
          <w:b/>
        </w:rPr>
        <w:t>Autoriza o Governo a aprovar um novo regime jurídico dos serviços de pagamento de moeda eletrónica, transpondo a Diretiva (UE) 2015/2366</w:t>
      </w:r>
    </w:p>
    <w:p w:rsidR="001C3552" w:rsidRDefault="001C3552" w:rsidP="005233CA">
      <w:pPr>
        <w:spacing w:line="360" w:lineRule="auto"/>
        <w:ind w:right="521"/>
        <w:jc w:val="center"/>
      </w:pPr>
    </w:p>
    <w:p w:rsidR="00D168DE" w:rsidRDefault="00D168DE" w:rsidP="005233CA">
      <w:pPr>
        <w:spacing w:line="360" w:lineRule="auto"/>
        <w:ind w:left="567" w:right="521"/>
        <w:jc w:val="center"/>
        <w:rPr>
          <w:b/>
        </w:rPr>
      </w:pPr>
      <w:r>
        <w:rPr>
          <w:b/>
        </w:rPr>
        <w:t xml:space="preserve">Proposta de alteração </w:t>
      </w:r>
    </w:p>
    <w:p w:rsidR="008D3FAB" w:rsidRDefault="008D3FAB" w:rsidP="005233CA">
      <w:pPr>
        <w:spacing w:line="360" w:lineRule="auto"/>
        <w:ind w:left="567" w:right="521"/>
      </w:pPr>
    </w:p>
    <w:p w:rsidR="00D168DE" w:rsidRPr="005233CA" w:rsidRDefault="00B40DF5" w:rsidP="005233CA">
      <w:pPr>
        <w:spacing w:line="360" w:lineRule="auto"/>
        <w:ind w:left="567" w:right="521"/>
        <w:jc w:val="center"/>
      </w:pPr>
      <w:r w:rsidRPr="005233CA">
        <w:t>Artigo 2.º</w:t>
      </w:r>
    </w:p>
    <w:p w:rsidR="005233CA" w:rsidRPr="005233CA" w:rsidRDefault="005233CA" w:rsidP="005233CA">
      <w:pPr>
        <w:spacing w:line="360" w:lineRule="auto"/>
        <w:ind w:left="567" w:right="521"/>
        <w:jc w:val="center"/>
      </w:pPr>
      <w:r w:rsidRPr="005233CA">
        <w:t>[…]</w:t>
      </w:r>
    </w:p>
    <w:p w:rsidR="00B40DF5" w:rsidRPr="00B40DF5" w:rsidRDefault="005233CA" w:rsidP="005233CA">
      <w:pPr>
        <w:spacing w:line="360" w:lineRule="auto"/>
        <w:ind w:right="521"/>
        <w:jc w:val="both"/>
      </w:pPr>
      <w:r>
        <w:t>1</w:t>
      </w:r>
      <w:r w:rsidR="00B40DF5" w:rsidRPr="00B40DF5">
        <w:t xml:space="preserve"> </w:t>
      </w:r>
      <w:r>
        <w:t xml:space="preserve">- </w:t>
      </w:r>
      <w:r w:rsidR="00B40DF5" w:rsidRPr="00B40DF5">
        <w:t>No uso da autorização legislativa conferida pela alínea a) do n.º 4 do artigo anterior, pode o Governo:</w:t>
      </w:r>
    </w:p>
    <w:p w:rsidR="00B40DF5" w:rsidRPr="00B40DF5" w:rsidRDefault="00B40DF5" w:rsidP="005233CA">
      <w:pPr>
        <w:spacing w:line="360" w:lineRule="auto"/>
        <w:ind w:left="284" w:right="521"/>
        <w:jc w:val="both"/>
      </w:pPr>
      <w:r w:rsidRPr="00B40DF5">
        <w:t xml:space="preserve">a) </w:t>
      </w:r>
      <w:r w:rsidRPr="001C3552">
        <w:t>[…].</w:t>
      </w:r>
    </w:p>
    <w:p w:rsidR="00F57496" w:rsidRDefault="00B40DF5" w:rsidP="005233CA">
      <w:pPr>
        <w:spacing w:line="360" w:lineRule="auto"/>
        <w:ind w:left="284" w:right="521"/>
        <w:jc w:val="both"/>
        <w:rPr>
          <w:b/>
        </w:rPr>
      </w:pPr>
      <w:r w:rsidRPr="00B40DF5">
        <w:t>b) Reservar o exercício da atividade de prestação de serviços de pagamento às</w:t>
      </w:r>
      <w:r>
        <w:t xml:space="preserve"> </w:t>
      </w:r>
      <w:r w:rsidRPr="00B40DF5">
        <w:t xml:space="preserve">seguintes categorias de </w:t>
      </w:r>
      <w:r w:rsidRPr="00B40DF5">
        <w:rPr>
          <w:b/>
        </w:rPr>
        <w:t>entidades</w:t>
      </w:r>
      <w:r>
        <w:rPr>
          <w:b/>
        </w:rPr>
        <w:t>: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 w:rsidRPr="005233CA">
        <w:t>[…]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4"/>
        </w:numPr>
        <w:spacing w:line="360" w:lineRule="auto"/>
        <w:ind w:right="521"/>
        <w:jc w:val="both"/>
      </w:pPr>
      <w:r>
        <w:t>[…]</w:t>
      </w:r>
    </w:p>
    <w:p w:rsidR="00352881" w:rsidRDefault="005233CA" w:rsidP="005233CA">
      <w:pPr>
        <w:spacing w:line="360" w:lineRule="auto"/>
        <w:ind w:left="284" w:right="521"/>
        <w:jc w:val="both"/>
      </w:pPr>
      <w:r>
        <w:t xml:space="preserve">c) </w:t>
      </w:r>
      <w:r w:rsidR="00352881" w:rsidRPr="00352881">
        <w:t>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d) 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lastRenderedPageBreak/>
        <w:t>e) 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f) 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g) 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h) […]</w:t>
      </w:r>
    </w:p>
    <w:p w:rsidR="005233CA" w:rsidRDefault="00F57496" w:rsidP="005233CA">
      <w:pPr>
        <w:spacing w:line="360" w:lineRule="auto"/>
        <w:ind w:left="284" w:right="521"/>
        <w:jc w:val="both"/>
      </w:pPr>
      <w:r>
        <w:t>i)</w:t>
      </w:r>
      <w:r w:rsidR="00352881">
        <w:t xml:space="preserve"> </w:t>
      </w:r>
      <w:r>
        <w:t>Prever um regime de dispensa de aplicação da totalidade ou de parte dos requisitos e dos trâmites processuais de que depende a autorização de instituições de pagamento para instituições de pequena dimensão, com os seguintes pressupostos:</w:t>
      </w:r>
    </w:p>
    <w:p w:rsidR="00F57496" w:rsidRDefault="00F57496" w:rsidP="005233CA">
      <w:pPr>
        <w:pStyle w:val="PargrafodaLista"/>
        <w:numPr>
          <w:ilvl w:val="0"/>
          <w:numId w:val="36"/>
        </w:numPr>
        <w:spacing w:line="360" w:lineRule="auto"/>
        <w:ind w:right="521"/>
        <w:jc w:val="both"/>
      </w:pPr>
      <w:r>
        <w:t xml:space="preserve">Ficam excluídos do regime de dispensa as normas sobre supervisão do Banco de Portugal, dever de segredo, registo e troca de informações com autoridades monetárias e de supervisão </w:t>
      </w:r>
      <w:r w:rsidRPr="005233CA">
        <w:rPr>
          <w:b/>
        </w:rPr>
        <w:t>nacionais</w:t>
      </w:r>
      <w:r>
        <w:t>, europeias e de outros Estados Membros;</w:t>
      </w:r>
    </w:p>
    <w:p w:rsidR="005233CA" w:rsidRDefault="005233CA" w:rsidP="005233CA">
      <w:pPr>
        <w:pStyle w:val="PargrafodaLista"/>
        <w:numPr>
          <w:ilvl w:val="0"/>
          <w:numId w:val="36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6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6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pStyle w:val="PargrafodaLista"/>
        <w:numPr>
          <w:ilvl w:val="0"/>
          <w:numId w:val="36"/>
        </w:numPr>
        <w:spacing w:line="360" w:lineRule="auto"/>
        <w:ind w:right="521"/>
        <w:jc w:val="both"/>
      </w:pPr>
      <w:r>
        <w:t>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j) 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k) 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l) 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m) 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n) […]</w:t>
      </w:r>
    </w:p>
    <w:p w:rsidR="005233CA" w:rsidRDefault="005233CA" w:rsidP="005233CA">
      <w:pPr>
        <w:spacing w:line="360" w:lineRule="auto"/>
        <w:ind w:left="284" w:right="521"/>
        <w:jc w:val="both"/>
      </w:pPr>
      <w:r>
        <w:t>o) […]</w:t>
      </w:r>
    </w:p>
    <w:p w:rsidR="005233CA" w:rsidRDefault="005233CA" w:rsidP="005233CA">
      <w:pPr>
        <w:spacing w:line="360" w:lineRule="auto"/>
        <w:ind w:right="521"/>
        <w:jc w:val="both"/>
      </w:pPr>
      <w:r>
        <w:t>2 – […]</w:t>
      </w:r>
    </w:p>
    <w:p w:rsidR="00352881" w:rsidRDefault="00352881" w:rsidP="005233CA">
      <w:pPr>
        <w:spacing w:line="360" w:lineRule="auto"/>
        <w:ind w:right="521"/>
      </w:pPr>
    </w:p>
    <w:p w:rsidR="005233CA" w:rsidRDefault="005233CA" w:rsidP="005233CA">
      <w:pPr>
        <w:spacing w:line="360" w:lineRule="auto"/>
        <w:ind w:right="521"/>
      </w:pPr>
    </w:p>
    <w:p w:rsidR="005233CA" w:rsidRDefault="005233CA" w:rsidP="005233CA">
      <w:pPr>
        <w:spacing w:line="360" w:lineRule="auto"/>
        <w:ind w:right="521"/>
      </w:pPr>
    </w:p>
    <w:p w:rsidR="005233CA" w:rsidRDefault="005233CA" w:rsidP="005233CA">
      <w:pPr>
        <w:spacing w:line="360" w:lineRule="auto"/>
        <w:ind w:right="521"/>
      </w:pPr>
    </w:p>
    <w:p w:rsidR="00352881" w:rsidRDefault="00352881" w:rsidP="005233CA">
      <w:pPr>
        <w:spacing w:line="360" w:lineRule="auto"/>
        <w:ind w:right="521"/>
        <w:jc w:val="center"/>
      </w:pPr>
      <w:r>
        <w:t>Artigo 3.º</w:t>
      </w:r>
    </w:p>
    <w:p w:rsidR="00352881" w:rsidRDefault="00352881" w:rsidP="005233CA">
      <w:pPr>
        <w:spacing w:line="360" w:lineRule="auto"/>
        <w:ind w:right="521"/>
        <w:jc w:val="center"/>
      </w:pPr>
      <w:r w:rsidRPr="00352881">
        <w:t>[…]</w:t>
      </w:r>
    </w:p>
    <w:p w:rsidR="008D3FAB" w:rsidRDefault="005233CA" w:rsidP="005233CA">
      <w:pPr>
        <w:spacing w:line="360" w:lineRule="auto"/>
        <w:ind w:right="521"/>
        <w:jc w:val="both"/>
      </w:pPr>
      <w:r>
        <w:t xml:space="preserve">1 - </w:t>
      </w:r>
      <w:r w:rsidR="008D3FAB">
        <w:t>[…]</w:t>
      </w:r>
    </w:p>
    <w:p w:rsidR="00352881" w:rsidRDefault="005233CA" w:rsidP="005233CA">
      <w:pPr>
        <w:tabs>
          <w:tab w:val="left" w:pos="567"/>
        </w:tabs>
        <w:spacing w:line="360" w:lineRule="auto"/>
        <w:ind w:right="521"/>
        <w:jc w:val="both"/>
      </w:pPr>
      <w:r>
        <w:t xml:space="preserve">2 - </w:t>
      </w:r>
      <w:r w:rsidR="00352881">
        <w:t xml:space="preserve">Em concretização da autorização legislativa a que se refere o presente artigo, fica </w:t>
      </w:r>
      <w:r w:rsidR="008D3FAB">
        <w:t xml:space="preserve">ainda </w:t>
      </w:r>
      <w:r w:rsidR="00352881">
        <w:t xml:space="preserve">o Governo autorizado a determinar a aplicação do regime sobre o controlo de participações qualificadas em instituições de crédito instituído pelo RGICSF às instituições de pagamento </w:t>
      </w:r>
      <w:r w:rsidR="00352881" w:rsidRPr="00352881">
        <w:t>e</w:t>
      </w:r>
      <w:r w:rsidR="00352881" w:rsidRPr="005233CA">
        <w:rPr>
          <w:b/>
        </w:rPr>
        <w:t xml:space="preserve"> instituições de moeda eletrónica</w:t>
      </w:r>
      <w:r w:rsidR="00352881">
        <w:t>, quando tal se mostrar adequado</w:t>
      </w:r>
    </w:p>
    <w:p w:rsidR="005233CA" w:rsidRPr="005233CA" w:rsidRDefault="005233CA" w:rsidP="005233CA">
      <w:pPr>
        <w:spacing w:line="360" w:lineRule="auto"/>
        <w:ind w:left="1416" w:right="521"/>
        <w:jc w:val="center"/>
      </w:pPr>
    </w:p>
    <w:p w:rsidR="005B436F" w:rsidRPr="005233CA" w:rsidRDefault="005B436F" w:rsidP="005233CA">
      <w:pPr>
        <w:spacing w:line="360" w:lineRule="auto"/>
        <w:ind w:right="521"/>
        <w:jc w:val="center"/>
      </w:pPr>
      <w:r w:rsidRPr="005233CA">
        <w:t>Artigo 4.º</w:t>
      </w:r>
    </w:p>
    <w:p w:rsidR="005233CA" w:rsidRPr="005233CA" w:rsidRDefault="005233CA" w:rsidP="005233CA">
      <w:pPr>
        <w:spacing w:line="360" w:lineRule="auto"/>
        <w:ind w:right="521"/>
        <w:jc w:val="center"/>
      </w:pPr>
      <w:r w:rsidRPr="005233CA">
        <w:t>[…]</w:t>
      </w:r>
    </w:p>
    <w:p w:rsidR="005B436F" w:rsidRDefault="005B436F" w:rsidP="005233CA">
      <w:pPr>
        <w:spacing w:line="360" w:lineRule="auto"/>
        <w:ind w:right="521"/>
      </w:pPr>
      <w:r>
        <w:t xml:space="preserve">1 - </w:t>
      </w:r>
      <w:r w:rsidRPr="005B436F">
        <w:t>[…]</w:t>
      </w:r>
    </w:p>
    <w:p w:rsidR="005B436F" w:rsidRPr="005B436F" w:rsidRDefault="005B436F" w:rsidP="005233CA">
      <w:pPr>
        <w:spacing w:line="360" w:lineRule="auto"/>
        <w:ind w:right="521"/>
        <w:jc w:val="both"/>
        <w:rPr>
          <w:b/>
        </w:rPr>
      </w:pPr>
      <w:r>
        <w:t xml:space="preserve">2 - Em concretização da autorização legislativa a que se refere o presente artigo, fica ainda o Governo autorizado a determinar a aplicação do regime relativo ao controlo dos membros dos órgãos de administração e de fiscalização instituído pelo RGICSF às instituições de pagamento </w:t>
      </w:r>
      <w:r w:rsidRPr="005B436F">
        <w:rPr>
          <w:b/>
        </w:rPr>
        <w:t>e instituições de moeda eletrónica.</w:t>
      </w:r>
    </w:p>
    <w:p w:rsidR="005233CA" w:rsidRDefault="005233CA" w:rsidP="005233CA">
      <w:pPr>
        <w:spacing w:line="360" w:lineRule="auto"/>
        <w:ind w:right="521"/>
      </w:pPr>
    </w:p>
    <w:p w:rsidR="005B436F" w:rsidRPr="005233CA" w:rsidRDefault="005B436F" w:rsidP="005233CA">
      <w:pPr>
        <w:spacing w:line="360" w:lineRule="auto"/>
        <w:ind w:right="521"/>
        <w:jc w:val="center"/>
      </w:pPr>
      <w:r w:rsidRPr="005233CA">
        <w:t>Artigo 7.º</w:t>
      </w:r>
    </w:p>
    <w:p w:rsidR="005B436F" w:rsidRPr="005233CA" w:rsidRDefault="005B436F" w:rsidP="005233CA">
      <w:pPr>
        <w:spacing w:line="360" w:lineRule="auto"/>
        <w:ind w:right="521"/>
        <w:jc w:val="center"/>
      </w:pPr>
      <w:r w:rsidRPr="005233CA">
        <w:t>[…]</w:t>
      </w:r>
    </w:p>
    <w:p w:rsidR="008D3FAB" w:rsidRDefault="005B436F" w:rsidP="005233CA">
      <w:pPr>
        <w:pStyle w:val="PargrafodaLista"/>
        <w:numPr>
          <w:ilvl w:val="0"/>
          <w:numId w:val="31"/>
        </w:numPr>
        <w:spacing w:line="360" w:lineRule="auto"/>
        <w:ind w:left="284" w:right="521" w:hanging="284"/>
      </w:pPr>
      <w:r w:rsidRPr="005B436F">
        <w:t>[…]</w:t>
      </w:r>
    </w:p>
    <w:p w:rsidR="008D3FAB" w:rsidRDefault="005B436F" w:rsidP="005233CA">
      <w:pPr>
        <w:pStyle w:val="PargrafodaLista"/>
        <w:numPr>
          <w:ilvl w:val="0"/>
          <w:numId w:val="31"/>
        </w:numPr>
        <w:spacing w:line="360" w:lineRule="auto"/>
        <w:ind w:left="284" w:right="521" w:hanging="284"/>
      </w:pPr>
      <w:r w:rsidRPr="005B436F">
        <w:t>[…]</w:t>
      </w:r>
    </w:p>
    <w:p w:rsidR="008D3FAB" w:rsidRDefault="005B436F" w:rsidP="005233CA">
      <w:pPr>
        <w:pStyle w:val="PargrafodaLista"/>
        <w:numPr>
          <w:ilvl w:val="0"/>
          <w:numId w:val="31"/>
        </w:numPr>
        <w:spacing w:line="360" w:lineRule="auto"/>
        <w:ind w:left="284" w:right="521" w:hanging="284"/>
      </w:pPr>
      <w:r w:rsidRPr="005B436F">
        <w:t>[…]</w:t>
      </w:r>
    </w:p>
    <w:p w:rsidR="008D3FAB" w:rsidRDefault="005B436F" w:rsidP="005233CA">
      <w:pPr>
        <w:pStyle w:val="PargrafodaLista"/>
        <w:numPr>
          <w:ilvl w:val="0"/>
          <w:numId w:val="31"/>
        </w:numPr>
        <w:spacing w:line="360" w:lineRule="auto"/>
        <w:ind w:left="284" w:right="521" w:hanging="284"/>
      </w:pPr>
      <w:r w:rsidRPr="005B436F">
        <w:t>[…]</w:t>
      </w:r>
    </w:p>
    <w:p w:rsidR="008D3FAB" w:rsidRDefault="005B436F" w:rsidP="005233CA">
      <w:pPr>
        <w:pStyle w:val="PargrafodaLista"/>
        <w:numPr>
          <w:ilvl w:val="0"/>
          <w:numId w:val="31"/>
        </w:numPr>
        <w:spacing w:line="360" w:lineRule="auto"/>
        <w:ind w:left="284" w:right="521" w:hanging="284"/>
      </w:pPr>
      <w:r w:rsidRPr="005B436F">
        <w:lastRenderedPageBreak/>
        <w:t>[…]</w:t>
      </w:r>
    </w:p>
    <w:p w:rsidR="008D3FAB" w:rsidRDefault="005B436F" w:rsidP="005233CA">
      <w:pPr>
        <w:pStyle w:val="PargrafodaLista"/>
        <w:numPr>
          <w:ilvl w:val="0"/>
          <w:numId w:val="31"/>
        </w:numPr>
        <w:spacing w:line="360" w:lineRule="auto"/>
        <w:ind w:left="284" w:right="521" w:hanging="284"/>
      </w:pPr>
      <w:r w:rsidRPr="005B436F">
        <w:t>[…]</w:t>
      </w:r>
    </w:p>
    <w:p w:rsidR="005B436F" w:rsidRDefault="005B436F" w:rsidP="005233CA">
      <w:pPr>
        <w:pStyle w:val="PargrafodaLista"/>
        <w:numPr>
          <w:ilvl w:val="0"/>
          <w:numId w:val="31"/>
        </w:numPr>
        <w:spacing w:line="360" w:lineRule="auto"/>
        <w:ind w:left="284" w:right="521" w:hanging="284"/>
        <w:jc w:val="both"/>
      </w:pPr>
      <w:r>
        <w:t>Ainda no uso da autorização legislativa conferida pela alínea f) do n.º 4 do artigo 1.º, pode o Governo:</w:t>
      </w:r>
    </w:p>
    <w:p w:rsidR="008D3FAB" w:rsidRDefault="005B436F" w:rsidP="005233CA">
      <w:pPr>
        <w:pStyle w:val="PargrafodaLista"/>
        <w:numPr>
          <w:ilvl w:val="0"/>
          <w:numId w:val="32"/>
        </w:numPr>
        <w:spacing w:line="360" w:lineRule="auto"/>
        <w:ind w:left="851" w:hanging="425"/>
        <w:jc w:val="both"/>
      </w:pPr>
      <w:r w:rsidRPr="005B436F">
        <w:t>[…]</w:t>
      </w:r>
    </w:p>
    <w:p w:rsidR="005233CA" w:rsidRDefault="005B436F" w:rsidP="005233CA">
      <w:pPr>
        <w:pStyle w:val="PargrafodaLista"/>
        <w:numPr>
          <w:ilvl w:val="0"/>
          <w:numId w:val="32"/>
        </w:numPr>
        <w:spacing w:line="360" w:lineRule="auto"/>
        <w:ind w:left="851" w:hanging="425"/>
        <w:jc w:val="both"/>
      </w:pPr>
      <w:r>
        <w:t>Atribuir a competência para instruir os processos de contraordenação e aplicar as correspondentes coimas e sanções acessórias ao Banco de Portugal relativamente ao</w:t>
      </w:r>
      <w:r w:rsidR="00A57CCB">
        <w:t xml:space="preserve">s ilícitos previstos no n.º 1, </w:t>
      </w:r>
      <w:r>
        <w:t>na alínea a) do n.º 2</w:t>
      </w:r>
      <w:r w:rsidR="008D3FAB" w:rsidRPr="008D3FAB">
        <w:t xml:space="preserve"> </w:t>
      </w:r>
      <w:r w:rsidR="008D3FAB" w:rsidRPr="008D3FAB">
        <w:rPr>
          <w:b/>
        </w:rPr>
        <w:t>e no n.º 3</w:t>
      </w:r>
      <w:r w:rsidR="008D3FAB" w:rsidRPr="008D3FAB">
        <w:t xml:space="preserve"> </w:t>
      </w:r>
      <w:r>
        <w:t>do artigo 7.º, e à entidade reguladora setorial respetiva, ou, nos demais setores de atividade, à Autoridade de Segurança Alimentar e Económica relativamente aos ilícitos previstos nas alíneas b) e c) do n.º 2 do artigo 7.º;</w:t>
      </w:r>
    </w:p>
    <w:p w:rsidR="005233CA" w:rsidRDefault="005233CA" w:rsidP="005233CA">
      <w:pPr>
        <w:pStyle w:val="PargrafodaLista"/>
        <w:numPr>
          <w:ilvl w:val="0"/>
          <w:numId w:val="32"/>
        </w:numPr>
        <w:spacing w:line="360" w:lineRule="auto"/>
        <w:ind w:left="851" w:hanging="425"/>
        <w:jc w:val="both"/>
      </w:pPr>
      <w:r>
        <w:t>[…]</w:t>
      </w:r>
    </w:p>
    <w:p w:rsidR="008D3FAB" w:rsidRDefault="005233CA" w:rsidP="005233CA">
      <w:pPr>
        <w:pStyle w:val="PargrafodaLista"/>
        <w:numPr>
          <w:ilvl w:val="0"/>
          <w:numId w:val="32"/>
        </w:numPr>
        <w:spacing w:line="360" w:lineRule="auto"/>
        <w:ind w:left="851" w:hanging="425"/>
        <w:jc w:val="both"/>
      </w:pPr>
      <w:r>
        <w:t>[…]</w:t>
      </w:r>
    </w:p>
    <w:p w:rsidR="005B436F" w:rsidRDefault="005B436F" w:rsidP="005233CA">
      <w:pPr>
        <w:pStyle w:val="PargrafodaLista"/>
        <w:spacing w:line="360" w:lineRule="auto"/>
        <w:ind w:right="521"/>
      </w:pPr>
    </w:p>
    <w:p w:rsidR="001C3552" w:rsidRDefault="001C3552" w:rsidP="005233CA">
      <w:pPr>
        <w:spacing w:line="360" w:lineRule="auto"/>
        <w:jc w:val="both"/>
      </w:pPr>
    </w:p>
    <w:p w:rsidR="00B41414" w:rsidRDefault="009A66D6" w:rsidP="005233CA">
      <w:pPr>
        <w:spacing w:line="360" w:lineRule="auto"/>
        <w:jc w:val="center"/>
      </w:pPr>
      <w:r>
        <w:t>Os Deputados,</w:t>
      </w:r>
    </w:p>
    <w:sectPr w:rsidR="00B41414" w:rsidSect="007F5AF0">
      <w:headerReference w:type="default" r:id="rId7"/>
      <w:pgSz w:w="11906" w:h="16838"/>
      <w:pgMar w:top="1440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2D" w:rsidRDefault="00706A2D">
      <w:pPr>
        <w:spacing w:after="0" w:line="240" w:lineRule="auto"/>
      </w:pPr>
      <w:r>
        <w:separator/>
      </w:r>
    </w:p>
  </w:endnote>
  <w:endnote w:type="continuationSeparator" w:id="0">
    <w:p w:rsidR="00706A2D" w:rsidRDefault="0070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2D" w:rsidRDefault="00706A2D">
      <w:pPr>
        <w:spacing w:after="0" w:line="240" w:lineRule="auto"/>
      </w:pPr>
      <w:r>
        <w:separator/>
      </w:r>
    </w:p>
  </w:footnote>
  <w:footnote w:type="continuationSeparator" w:id="0">
    <w:p w:rsidR="00706A2D" w:rsidRDefault="0070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AF0" w:rsidRDefault="009A66D6">
    <w:pPr>
      <w:pStyle w:val="Cabealho"/>
    </w:pPr>
    <w:r w:rsidRPr="00D43A9A">
      <w:rPr>
        <w:noProof/>
        <w:lang w:eastAsia="pt-PT"/>
      </w:rPr>
      <w:drawing>
        <wp:inline distT="0" distB="0" distL="0" distR="0">
          <wp:extent cx="1685925" cy="1190625"/>
          <wp:effectExtent l="0" t="0" r="9525" b="9525"/>
          <wp:docPr id="1" name="Imagem 1" descr="C:\Users\Xavier\AppData\Local\Microsoft\Windows\Temporary Internet Files\Content.IE5\9H0RBJA3\logo_GPPS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Xavier\AppData\Local\Microsoft\Windows\Temporary Internet Files\Content.IE5\9H0RBJA3\logo_GPPS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AF0" w:rsidRDefault="00A876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2BB"/>
    <w:multiLevelType w:val="hybridMultilevel"/>
    <w:tmpl w:val="EFC4DCC4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6BA5"/>
    <w:multiLevelType w:val="hybridMultilevel"/>
    <w:tmpl w:val="F118CB9E"/>
    <w:lvl w:ilvl="0" w:tplc="3BC8E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76E5"/>
    <w:multiLevelType w:val="hybridMultilevel"/>
    <w:tmpl w:val="DC16C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4EE"/>
    <w:multiLevelType w:val="hybridMultilevel"/>
    <w:tmpl w:val="F54C06D4"/>
    <w:lvl w:ilvl="0" w:tplc="77C40D46">
      <w:start w:val="1"/>
      <w:numFmt w:val="decimal"/>
      <w:lvlText w:val="%1-"/>
      <w:lvlJc w:val="left"/>
      <w:pPr>
        <w:ind w:left="1776" w:hanging="360"/>
      </w:pPr>
      <w:rPr>
        <w:rFonts w:ascii="Calibri" w:eastAsia="SimSun" w:hAnsi="Calibri" w:cs="Calibri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877DFE"/>
    <w:multiLevelType w:val="hybridMultilevel"/>
    <w:tmpl w:val="D958C404"/>
    <w:lvl w:ilvl="0" w:tplc="50AC5A88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254E5D"/>
    <w:multiLevelType w:val="hybridMultilevel"/>
    <w:tmpl w:val="203C0838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075B"/>
    <w:multiLevelType w:val="hybridMultilevel"/>
    <w:tmpl w:val="1352A834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920C5"/>
    <w:multiLevelType w:val="hybridMultilevel"/>
    <w:tmpl w:val="8A184CA6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FC6"/>
    <w:multiLevelType w:val="hybridMultilevel"/>
    <w:tmpl w:val="70061C4C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572A"/>
    <w:multiLevelType w:val="hybridMultilevel"/>
    <w:tmpl w:val="5636AB76"/>
    <w:lvl w:ilvl="0" w:tplc="77C40D46">
      <w:start w:val="1"/>
      <w:numFmt w:val="decimal"/>
      <w:lvlText w:val="%1-"/>
      <w:lvlJc w:val="left"/>
      <w:pPr>
        <w:ind w:left="2343" w:hanging="360"/>
      </w:pPr>
      <w:rPr>
        <w:rFonts w:ascii="Calibri" w:eastAsia="SimSun" w:hAnsi="Calibri" w:cs="Calibri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A96E25"/>
    <w:multiLevelType w:val="hybridMultilevel"/>
    <w:tmpl w:val="C74C2D7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5F18CA"/>
    <w:multiLevelType w:val="hybridMultilevel"/>
    <w:tmpl w:val="A11C2888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4D2042BA">
      <w:start w:val="1"/>
      <w:numFmt w:val="lowerLetter"/>
      <w:lvlText w:val="%2)"/>
      <w:lvlJc w:val="left"/>
      <w:pPr>
        <w:ind w:left="2148" w:hanging="360"/>
      </w:pPr>
      <w:rPr>
        <w:i/>
      </w:rPr>
    </w:lvl>
    <w:lvl w:ilvl="2" w:tplc="779AF164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283565"/>
    <w:multiLevelType w:val="hybridMultilevel"/>
    <w:tmpl w:val="39689E56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44F87"/>
    <w:multiLevelType w:val="hybridMultilevel"/>
    <w:tmpl w:val="9E2ECAEA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84A61"/>
    <w:multiLevelType w:val="hybridMultilevel"/>
    <w:tmpl w:val="65BAEC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E6C64"/>
    <w:multiLevelType w:val="hybridMultilevel"/>
    <w:tmpl w:val="54C698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C40C9A6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36F20"/>
    <w:multiLevelType w:val="hybridMultilevel"/>
    <w:tmpl w:val="E65C14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4211A"/>
    <w:multiLevelType w:val="hybridMultilevel"/>
    <w:tmpl w:val="10C0E76E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05685"/>
    <w:multiLevelType w:val="hybridMultilevel"/>
    <w:tmpl w:val="053ABADC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2342"/>
    <w:multiLevelType w:val="hybridMultilevel"/>
    <w:tmpl w:val="B54EF770"/>
    <w:lvl w:ilvl="0" w:tplc="50AC5A88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5167E5B"/>
    <w:multiLevelType w:val="hybridMultilevel"/>
    <w:tmpl w:val="F7B21A7A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30FF7"/>
    <w:multiLevelType w:val="hybridMultilevel"/>
    <w:tmpl w:val="0F0A480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3275B"/>
    <w:multiLevelType w:val="hybridMultilevel"/>
    <w:tmpl w:val="F8546A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56102"/>
    <w:multiLevelType w:val="hybridMultilevel"/>
    <w:tmpl w:val="A85EAF4C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17B"/>
    <w:multiLevelType w:val="hybridMultilevel"/>
    <w:tmpl w:val="F8E4FAD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C20FE"/>
    <w:multiLevelType w:val="hybridMultilevel"/>
    <w:tmpl w:val="6524B614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C6961"/>
    <w:multiLevelType w:val="hybridMultilevel"/>
    <w:tmpl w:val="55A89FBA"/>
    <w:lvl w:ilvl="0" w:tplc="7786D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3765A"/>
    <w:multiLevelType w:val="hybridMultilevel"/>
    <w:tmpl w:val="57327806"/>
    <w:lvl w:ilvl="0" w:tplc="08160017">
      <w:start w:val="1"/>
      <w:numFmt w:val="lowerLetter"/>
      <w:lvlText w:val="%1)"/>
      <w:lvlJc w:val="left"/>
      <w:pPr>
        <w:ind w:left="1335" w:hanging="360"/>
      </w:p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8" w15:restartNumberingAfterBreak="0">
    <w:nsid w:val="66B327EA"/>
    <w:multiLevelType w:val="hybridMultilevel"/>
    <w:tmpl w:val="A0346C54"/>
    <w:lvl w:ilvl="0" w:tplc="50AC5A88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1C7098"/>
    <w:multiLevelType w:val="hybridMultilevel"/>
    <w:tmpl w:val="DCEE2DC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  <w:b w:val="0"/>
      </w:rPr>
    </w:lvl>
    <w:lvl w:ilvl="1" w:tplc="EF82F9C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07EA4"/>
    <w:multiLevelType w:val="hybridMultilevel"/>
    <w:tmpl w:val="7F6860E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E3355"/>
    <w:multiLevelType w:val="hybridMultilevel"/>
    <w:tmpl w:val="79FC59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71EF9"/>
    <w:multiLevelType w:val="hybridMultilevel"/>
    <w:tmpl w:val="94CCF3D2"/>
    <w:lvl w:ilvl="0" w:tplc="FA7AE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872C8"/>
    <w:multiLevelType w:val="hybridMultilevel"/>
    <w:tmpl w:val="6F1AB5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679D7"/>
    <w:multiLevelType w:val="hybridMultilevel"/>
    <w:tmpl w:val="D958C404"/>
    <w:lvl w:ilvl="0" w:tplc="50AC5A88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CD0A5B"/>
    <w:multiLevelType w:val="hybridMultilevel"/>
    <w:tmpl w:val="0D968A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29"/>
  </w:num>
  <w:num w:numId="5">
    <w:abstractNumId w:val="15"/>
  </w:num>
  <w:num w:numId="6">
    <w:abstractNumId w:val="11"/>
  </w:num>
  <w:num w:numId="7">
    <w:abstractNumId w:val="33"/>
  </w:num>
  <w:num w:numId="8">
    <w:abstractNumId w:val="21"/>
  </w:num>
  <w:num w:numId="9">
    <w:abstractNumId w:val="16"/>
  </w:num>
  <w:num w:numId="10">
    <w:abstractNumId w:val="31"/>
  </w:num>
  <w:num w:numId="11">
    <w:abstractNumId w:val="24"/>
  </w:num>
  <w:num w:numId="12">
    <w:abstractNumId w:val="7"/>
  </w:num>
  <w:num w:numId="13">
    <w:abstractNumId w:val="12"/>
  </w:num>
  <w:num w:numId="14">
    <w:abstractNumId w:val="32"/>
  </w:num>
  <w:num w:numId="15">
    <w:abstractNumId w:val="17"/>
  </w:num>
  <w:num w:numId="16">
    <w:abstractNumId w:val="6"/>
  </w:num>
  <w:num w:numId="17">
    <w:abstractNumId w:val="5"/>
  </w:num>
  <w:num w:numId="18">
    <w:abstractNumId w:val="25"/>
  </w:num>
  <w:num w:numId="19">
    <w:abstractNumId w:val="23"/>
  </w:num>
  <w:num w:numId="20">
    <w:abstractNumId w:val="20"/>
  </w:num>
  <w:num w:numId="21">
    <w:abstractNumId w:val="0"/>
  </w:num>
  <w:num w:numId="22">
    <w:abstractNumId w:val="18"/>
  </w:num>
  <w:num w:numId="23">
    <w:abstractNumId w:val="8"/>
  </w:num>
  <w:num w:numId="24">
    <w:abstractNumId w:val="35"/>
  </w:num>
  <w:num w:numId="25">
    <w:abstractNumId w:val="13"/>
  </w:num>
  <w:num w:numId="26">
    <w:abstractNumId w:val="27"/>
  </w:num>
  <w:num w:numId="27">
    <w:abstractNumId w:val="34"/>
  </w:num>
  <w:num w:numId="28">
    <w:abstractNumId w:val="4"/>
  </w:num>
  <w:num w:numId="29">
    <w:abstractNumId w:val="10"/>
  </w:num>
  <w:num w:numId="30">
    <w:abstractNumId w:val="3"/>
  </w:num>
  <w:num w:numId="31">
    <w:abstractNumId w:val="1"/>
  </w:num>
  <w:num w:numId="32">
    <w:abstractNumId w:val="26"/>
  </w:num>
  <w:num w:numId="33">
    <w:abstractNumId w:val="9"/>
  </w:num>
  <w:num w:numId="34">
    <w:abstractNumId w:val="28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6"/>
    <w:rsid w:val="001359DF"/>
    <w:rsid w:val="00140D4A"/>
    <w:rsid w:val="00181E6F"/>
    <w:rsid w:val="001C3552"/>
    <w:rsid w:val="001C3862"/>
    <w:rsid w:val="001E51D1"/>
    <w:rsid w:val="00304E35"/>
    <w:rsid w:val="00340812"/>
    <w:rsid w:val="00352881"/>
    <w:rsid w:val="003F0EC1"/>
    <w:rsid w:val="004B260F"/>
    <w:rsid w:val="005233CA"/>
    <w:rsid w:val="005A719C"/>
    <w:rsid w:val="005A7711"/>
    <w:rsid w:val="005B436F"/>
    <w:rsid w:val="006667E0"/>
    <w:rsid w:val="006C506F"/>
    <w:rsid w:val="006F3F4E"/>
    <w:rsid w:val="00706A2D"/>
    <w:rsid w:val="007930FF"/>
    <w:rsid w:val="007E77F7"/>
    <w:rsid w:val="008073BD"/>
    <w:rsid w:val="00822B71"/>
    <w:rsid w:val="008A024A"/>
    <w:rsid w:val="008A6BB8"/>
    <w:rsid w:val="008D3FAB"/>
    <w:rsid w:val="009553CE"/>
    <w:rsid w:val="00991FD5"/>
    <w:rsid w:val="009A66D6"/>
    <w:rsid w:val="00A017BB"/>
    <w:rsid w:val="00A4086B"/>
    <w:rsid w:val="00A57CCB"/>
    <w:rsid w:val="00A726DB"/>
    <w:rsid w:val="00A82A77"/>
    <w:rsid w:val="00A876FA"/>
    <w:rsid w:val="00B25701"/>
    <w:rsid w:val="00B40DF5"/>
    <w:rsid w:val="00BA47BE"/>
    <w:rsid w:val="00CC00AC"/>
    <w:rsid w:val="00D168DE"/>
    <w:rsid w:val="00D22648"/>
    <w:rsid w:val="00DA7965"/>
    <w:rsid w:val="00DE0152"/>
    <w:rsid w:val="00E04459"/>
    <w:rsid w:val="00E457E0"/>
    <w:rsid w:val="00E6275C"/>
    <w:rsid w:val="00E64914"/>
    <w:rsid w:val="00F12A71"/>
    <w:rsid w:val="00F57496"/>
    <w:rsid w:val="00FB0254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B704-5E0B-400E-B0E8-987C1077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DF5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rsid w:val="009A66D6"/>
  </w:style>
  <w:style w:type="paragraph" w:styleId="Cabealho">
    <w:name w:val="header"/>
    <w:basedOn w:val="Normal"/>
    <w:link w:val="CabealhoCarter"/>
    <w:uiPriority w:val="99"/>
    <w:unhideWhenUsed/>
    <w:rsid w:val="009A66D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1">
    <w:name w:val="Cabeçalho Caráter1"/>
    <w:basedOn w:val="Tipodeletrapredefinidodopargrafo"/>
    <w:uiPriority w:val="99"/>
    <w:semiHidden/>
    <w:rsid w:val="009A66D6"/>
    <w:rPr>
      <w:rFonts w:ascii="Calibri" w:eastAsia="SimSun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4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086B"/>
    <w:rPr>
      <w:rFonts w:ascii="Segoe UI" w:eastAsia="SimSu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E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5EABB4613BDCA5408CB7D9F5BEEF2A68" ma:contentTypeVersion="" ma:contentTypeDescription="Documento Iniciativa Comissão" ma:contentTypeScope="" ma:versionID="2dbba556ed19163439ccdbed1f9b32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8249ad135d7c27fa3ae7ff177a83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3ª</Sessao>
    <SiglaOrgao xmlns="http://schemas.microsoft.com/sharepoint/v3">COFMA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Proposta de alteração</TipoDocumento>
    <Legislatura xmlns="http://schemas.microsoft.com/sharepoint/v3">XIII</Legislatura>
    <DataDocumento xmlns="http://schemas.microsoft.com/sharepoint/v3">2018-07-01T23:00:00+00:00</DataDocumento>
    <TipoIniciativa xmlns="http://schemas.microsoft.com/sharepoint/v3">P</TipoIniciativa>
    <IDFase xmlns="http://schemas.microsoft.com/sharepoint/v3">338383</IDFase>
    <NRIniciativa xmlns="http://schemas.microsoft.com/sharepoint/v3">123</NRIniciativa>
    <IDIniciativa xmlns="http://schemas.microsoft.com/sharepoint/v3">42399</IDIniciativa>
    <NROrgao xmlns="http://schemas.microsoft.com/sharepoint/v3">5</NROrgao>
    <IDOrgao xmlns="http://schemas.microsoft.com/sharepoint/v3">4528</IDOrgao>
  </documentManagement>
</p:properties>
</file>

<file path=customXml/itemProps1.xml><?xml version="1.0" encoding="utf-8"?>
<ds:datastoreItem xmlns:ds="http://schemas.openxmlformats.org/officeDocument/2006/customXml" ds:itemID="{03969915-81B2-47D7-B611-F64D4934D98C}"/>
</file>

<file path=customXml/itemProps2.xml><?xml version="1.0" encoding="utf-8"?>
<ds:datastoreItem xmlns:ds="http://schemas.openxmlformats.org/officeDocument/2006/customXml" ds:itemID="{62F0474E-4713-4B35-8705-7AA8B37B87C7}"/>
</file>

<file path=customXml/itemProps3.xml><?xml version="1.0" encoding="utf-8"?>
<ds:datastoreItem xmlns:ds="http://schemas.openxmlformats.org/officeDocument/2006/customXml" ds:itemID="{014383D0-A481-400A-A55F-8FE8B53C5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alteração do PS</dc:title>
  <dc:subject/>
  <dc:creator>Marina Gonçalves</dc:creator>
  <cp:keywords/>
  <dc:description/>
  <cp:lastModifiedBy>Ana Carvalho</cp:lastModifiedBy>
  <cp:revision>2</cp:revision>
  <cp:lastPrinted>2015-12-23T09:34:00Z</cp:lastPrinted>
  <dcterms:created xsi:type="dcterms:W3CDTF">2018-07-02T14:31:00Z</dcterms:created>
  <dcterms:modified xsi:type="dcterms:W3CDTF">2018-07-02T14:31:00Z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0x01010035B001969F5945C5A4C19D8C381FDCD5005EABB4613BDCA5408CB7D9F5BEEF2A68</vt:lpwstr>
  </property>
  <property fmtid="{D5CDD505-2E9C-101B-9397-08002B2CF9AE}" pid="3" name="Order">
    <vt:r8>77900</vt:r8>
  </property>
</Properties>
</file>