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B0" w:rsidRDefault="00C67BB0" w:rsidP="00C67BB0">
      <w:pPr>
        <w:tabs>
          <w:tab w:val="left" w:pos="4678"/>
          <w:tab w:val="left" w:pos="6237"/>
        </w:tabs>
        <w:spacing w:after="0" w:line="360" w:lineRule="auto"/>
        <w:jc w:val="both"/>
        <w:rPr>
          <w:rFonts w:eastAsia="Times New Roman" w:cs="Calibri"/>
          <w:b/>
          <w:sz w:val="28"/>
          <w:szCs w:val="28"/>
        </w:rPr>
      </w:pPr>
    </w:p>
    <w:p w:rsidR="00C67BB0" w:rsidRDefault="00C67BB0" w:rsidP="00C67BB0">
      <w:pPr>
        <w:tabs>
          <w:tab w:val="left" w:pos="4678"/>
          <w:tab w:val="left" w:pos="6237"/>
        </w:tabs>
        <w:spacing w:after="0" w:line="360" w:lineRule="auto"/>
        <w:jc w:val="both"/>
        <w:rPr>
          <w:rFonts w:eastAsia="Times New Roman" w:cs="Calibri"/>
          <w:b/>
          <w:sz w:val="28"/>
          <w:szCs w:val="28"/>
        </w:rPr>
      </w:pPr>
    </w:p>
    <w:p w:rsidR="00C67BB0" w:rsidRDefault="00C67BB0" w:rsidP="00C67BB0">
      <w:pPr>
        <w:tabs>
          <w:tab w:val="left" w:pos="4678"/>
          <w:tab w:val="left" w:pos="6237"/>
        </w:tabs>
        <w:spacing w:after="0" w:line="360" w:lineRule="auto"/>
        <w:jc w:val="center"/>
        <w:rPr>
          <w:rFonts w:eastAsia="Times New Roman" w:cs="Calibri"/>
          <w:b/>
          <w:sz w:val="28"/>
          <w:szCs w:val="28"/>
        </w:rPr>
      </w:pPr>
      <w:r w:rsidRPr="00C67BB0">
        <w:rPr>
          <w:rFonts w:eastAsia="Times New Roman" w:cs="Calibri"/>
          <w:b/>
          <w:sz w:val="28"/>
          <w:szCs w:val="28"/>
        </w:rPr>
        <w:t>PROJETO DE LEI N.º 535/XIII/2ª</w:t>
      </w:r>
    </w:p>
    <w:p w:rsidR="00C67BB0" w:rsidRDefault="00C67BB0" w:rsidP="00C67BB0">
      <w:pPr>
        <w:tabs>
          <w:tab w:val="left" w:pos="4678"/>
          <w:tab w:val="left" w:pos="6237"/>
        </w:tabs>
        <w:spacing w:after="0" w:line="360" w:lineRule="auto"/>
        <w:jc w:val="center"/>
        <w:rPr>
          <w:rFonts w:eastAsia="Times New Roman" w:cs="Calibri"/>
          <w:b/>
          <w:sz w:val="28"/>
          <w:szCs w:val="28"/>
        </w:rPr>
      </w:pPr>
    </w:p>
    <w:p w:rsidR="00C67BB0" w:rsidRDefault="00C67BB0" w:rsidP="00C67BB0">
      <w:pPr>
        <w:widowControl w:val="0"/>
        <w:spacing w:after="120" w:line="360" w:lineRule="auto"/>
        <w:jc w:val="center"/>
        <w:rPr>
          <w:rFonts w:cs="Calibri"/>
          <w:bCs/>
          <w:color w:val="000000"/>
        </w:rPr>
      </w:pPr>
      <w:r>
        <w:rPr>
          <w:rFonts w:cs="Calibri"/>
          <w:b/>
          <w:sz w:val="26"/>
          <w:szCs w:val="26"/>
        </w:rPr>
        <w:t>PROPOSTAS DE ALTERAÇÃO</w:t>
      </w:r>
    </w:p>
    <w:p w:rsidR="00C67BB0" w:rsidRDefault="00C67BB0" w:rsidP="00C67BB0">
      <w:pPr>
        <w:spacing w:after="120" w:line="360" w:lineRule="auto"/>
        <w:jc w:val="both"/>
        <w:rPr>
          <w:rFonts w:cs="Calibri"/>
          <w:bCs/>
        </w:rPr>
      </w:pPr>
      <w:r>
        <w:rPr>
          <w:rFonts w:cs="Calibri"/>
          <w:bCs/>
          <w:color w:val="000000"/>
        </w:rPr>
        <w:t>Ao abrigo das disposições constitucionais e regimentais aplicáveis, os Deputados abaixo assinados apresentam as seguintes propostas de a</w:t>
      </w:r>
      <w:r w:rsidR="00E2724E">
        <w:rPr>
          <w:rFonts w:cs="Calibri"/>
          <w:bCs/>
          <w:color w:val="000000"/>
        </w:rPr>
        <w:t>ditamento</w:t>
      </w:r>
      <w:r>
        <w:rPr>
          <w:rFonts w:cs="Calibri"/>
          <w:bCs/>
          <w:color w:val="000000"/>
        </w:rPr>
        <w:t xml:space="preserve"> ao </w:t>
      </w:r>
      <w:r w:rsidRPr="00C67BB0">
        <w:rPr>
          <w:rFonts w:cs="Calibri"/>
          <w:bCs/>
          <w:color w:val="000000"/>
        </w:rPr>
        <w:t>P</w:t>
      </w:r>
      <w:r>
        <w:rPr>
          <w:rFonts w:cs="Calibri"/>
          <w:bCs/>
          <w:color w:val="000000"/>
        </w:rPr>
        <w:t>rojeto de Lei n.º</w:t>
      </w:r>
      <w:r w:rsidRPr="00C67BB0">
        <w:rPr>
          <w:rFonts w:cs="Calibri"/>
          <w:bCs/>
          <w:color w:val="000000"/>
        </w:rPr>
        <w:t xml:space="preserve"> 535/XIII/2ª</w:t>
      </w:r>
      <w:r>
        <w:rPr>
          <w:rFonts w:cs="Calibri"/>
          <w:bCs/>
          <w:color w:val="000000"/>
        </w:rPr>
        <w:t>:</w:t>
      </w:r>
    </w:p>
    <w:p w:rsidR="00F43637" w:rsidRDefault="00C67BB0" w:rsidP="00F43637">
      <w:pPr>
        <w:widowControl w:val="0"/>
        <w:spacing w:after="0" w:line="360" w:lineRule="auto"/>
        <w:jc w:val="center"/>
      </w:pPr>
      <w:r>
        <w:rPr>
          <w:rFonts w:cs="Calibri"/>
          <w:bCs/>
        </w:rPr>
        <w:t>«</w:t>
      </w:r>
      <w:r w:rsidR="00F43637">
        <w:t>Artigo 3.º</w:t>
      </w:r>
    </w:p>
    <w:p w:rsidR="00F43637" w:rsidRPr="00F43637" w:rsidRDefault="00F43637" w:rsidP="00F43637">
      <w:pPr>
        <w:widowControl w:val="0"/>
        <w:spacing w:after="0" w:line="360" w:lineRule="auto"/>
        <w:jc w:val="center"/>
        <w:rPr>
          <w:rFonts w:cs="Calibri"/>
          <w:bCs/>
        </w:rPr>
      </w:pPr>
      <w:r w:rsidRPr="00F43637">
        <w:rPr>
          <w:rFonts w:cs="Calibri"/>
          <w:bCs/>
        </w:rPr>
        <w:t>Aditamento ao Decreto-Lei n.º 128/2014, de 29 de agosto</w:t>
      </w:r>
    </w:p>
    <w:p w:rsidR="00F43637" w:rsidRPr="00F43637" w:rsidRDefault="00F43637" w:rsidP="00F43637">
      <w:pPr>
        <w:widowControl w:val="0"/>
        <w:spacing w:after="0" w:line="360" w:lineRule="auto"/>
        <w:jc w:val="both"/>
        <w:rPr>
          <w:rFonts w:cs="Calibri"/>
          <w:bCs/>
        </w:rPr>
      </w:pPr>
      <w:r w:rsidRPr="00F43637">
        <w:rPr>
          <w:rFonts w:cs="Calibri"/>
          <w:bCs/>
        </w:rPr>
        <w:t>É aditado o artigo 15.º-A ao Decreto-Lei n.º 128/2014, de 29 de agosto, alterado pelo Decreto-Lei n.º 63/2015, com a seguinte redação:</w:t>
      </w:r>
    </w:p>
    <w:p w:rsidR="00F43637" w:rsidRDefault="00F43637" w:rsidP="00F43637">
      <w:pPr>
        <w:widowControl w:val="0"/>
        <w:spacing w:after="0" w:line="360" w:lineRule="auto"/>
        <w:jc w:val="center"/>
        <w:rPr>
          <w:rFonts w:cs="Calibri"/>
          <w:bCs/>
        </w:rPr>
      </w:pPr>
      <w:bookmarkStart w:id="0" w:name="_Hlk519100901"/>
      <w:r w:rsidRPr="00F43637">
        <w:rPr>
          <w:rFonts w:cs="Calibri"/>
          <w:bCs/>
        </w:rPr>
        <w:t xml:space="preserve">«Artigo15.º-A </w:t>
      </w:r>
    </w:p>
    <w:p w:rsidR="00F338F9" w:rsidRDefault="00F338F9" w:rsidP="00F43637">
      <w:pPr>
        <w:widowControl w:val="0"/>
        <w:spacing w:after="0" w:line="360" w:lineRule="auto"/>
        <w:jc w:val="center"/>
        <w:rPr>
          <w:rFonts w:cs="Calibri"/>
          <w:bCs/>
        </w:rPr>
      </w:pPr>
      <w:r>
        <w:rPr>
          <w:rFonts w:cs="Calibri"/>
          <w:bCs/>
        </w:rPr>
        <w:t>Requisitos para fixação de quotas</w:t>
      </w:r>
    </w:p>
    <w:p w:rsidR="00F03B47" w:rsidRPr="00F03B47" w:rsidRDefault="00F03B47" w:rsidP="00F03B47">
      <w:pPr>
        <w:spacing w:after="0" w:line="360" w:lineRule="auto"/>
        <w:jc w:val="both"/>
        <w:rPr>
          <w:rFonts w:cs="Calibri"/>
        </w:rPr>
      </w:pPr>
      <w:r w:rsidRPr="00F03B47">
        <w:rPr>
          <w:rFonts w:cs="Calibri"/>
        </w:rPr>
        <w:t>1 –  Os municípios podem, através de regulamento municipal a aprovar pela assembleia municipal, por proposta da câmara municipal, estabelecer limites ou quotas de alojamento local para determinadas freguesias ou zonas de intervenção do respetivo município.</w:t>
      </w:r>
    </w:p>
    <w:p w:rsidR="00F03B47" w:rsidRPr="00F03B47" w:rsidRDefault="00F03B47" w:rsidP="00F03B47">
      <w:pPr>
        <w:spacing w:after="0" w:line="360" w:lineRule="auto"/>
        <w:jc w:val="both"/>
        <w:rPr>
          <w:rFonts w:cs="Calibri"/>
        </w:rPr>
      </w:pPr>
      <w:r w:rsidRPr="00F03B47">
        <w:rPr>
          <w:rFonts w:cs="Calibri"/>
        </w:rPr>
        <w:t>2 – Os regulamentos municipais referidos no número anterior devem obedecer a critérios claros e objetivos, definindo obrigatoriamente:</w:t>
      </w:r>
    </w:p>
    <w:p w:rsidR="00F03B47" w:rsidRPr="00F03B47" w:rsidRDefault="00F03B47" w:rsidP="00F03B47">
      <w:pPr>
        <w:spacing w:after="0" w:line="360" w:lineRule="auto"/>
        <w:jc w:val="both"/>
        <w:rPr>
          <w:rFonts w:cs="Calibri"/>
        </w:rPr>
      </w:pPr>
      <w:r w:rsidRPr="00F03B47">
        <w:rPr>
          <w:rFonts w:cs="Calibri"/>
        </w:rPr>
        <w:t>a) a zona geográfica a que o sistema se aplica;</w:t>
      </w:r>
    </w:p>
    <w:p w:rsidR="00F03B47" w:rsidRPr="00F03B47" w:rsidRDefault="00F03B47" w:rsidP="00F03B47">
      <w:pPr>
        <w:spacing w:after="0" w:line="360" w:lineRule="auto"/>
        <w:jc w:val="both"/>
        <w:rPr>
          <w:rFonts w:cs="Calibri"/>
        </w:rPr>
      </w:pPr>
      <w:r w:rsidRPr="00F03B47">
        <w:rPr>
          <w:rFonts w:cs="Calibri"/>
        </w:rPr>
        <w:t>b) a percentagem da quota;</w:t>
      </w:r>
    </w:p>
    <w:p w:rsidR="00F03B47" w:rsidRPr="00F03B47" w:rsidRDefault="00F03B47" w:rsidP="00F03B47">
      <w:pPr>
        <w:spacing w:after="0" w:line="360" w:lineRule="auto"/>
        <w:jc w:val="both"/>
        <w:rPr>
          <w:rFonts w:cs="Calibri"/>
        </w:rPr>
      </w:pPr>
      <w:r w:rsidRPr="00F03B47">
        <w:rPr>
          <w:rFonts w:cs="Calibri"/>
        </w:rPr>
        <w:t>c) o universo de imóveis a que se aplica a quota, por referência a dados oficiais verificáveis;</w:t>
      </w:r>
    </w:p>
    <w:p w:rsidR="00F03B47" w:rsidRPr="00F03B47" w:rsidRDefault="00F03B47" w:rsidP="00F03B47">
      <w:pPr>
        <w:spacing w:after="0" w:line="360" w:lineRule="auto"/>
        <w:jc w:val="both"/>
        <w:rPr>
          <w:rFonts w:cs="Calibri"/>
        </w:rPr>
      </w:pPr>
      <w:r w:rsidRPr="00F03B47">
        <w:rPr>
          <w:rFonts w:cs="Calibri"/>
        </w:rPr>
        <w:t>d) o prazo de vigência do sistema, que não pode ser superior a dois anos, sem prejuízo da sua renovação;</w:t>
      </w:r>
    </w:p>
    <w:p w:rsidR="00F03B47" w:rsidRPr="00F03B47" w:rsidRDefault="00F03B47" w:rsidP="00F03B47">
      <w:pPr>
        <w:spacing w:after="0" w:line="360" w:lineRule="auto"/>
        <w:jc w:val="both"/>
        <w:rPr>
          <w:rFonts w:cs="Calibri"/>
        </w:rPr>
      </w:pPr>
      <w:r w:rsidRPr="00F03B47">
        <w:rPr>
          <w:rFonts w:cs="Calibri"/>
        </w:rPr>
        <w:t xml:space="preserve">e) o elenco de exceções ao sistema. </w:t>
      </w:r>
    </w:p>
    <w:p w:rsidR="00F03B47" w:rsidRPr="00F03B47" w:rsidRDefault="00F03B47" w:rsidP="00F03B47">
      <w:pPr>
        <w:spacing w:after="0" w:line="360" w:lineRule="auto"/>
        <w:jc w:val="both"/>
        <w:rPr>
          <w:rFonts w:cs="Calibri"/>
        </w:rPr>
      </w:pPr>
      <w:bookmarkStart w:id="1" w:name="_GoBack"/>
      <w:bookmarkEnd w:id="1"/>
      <w:proofErr w:type="gramStart"/>
      <w:r w:rsidRPr="00F03B47">
        <w:rPr>
          <w:rFonts w:cs="Calibri"/>
        </w:rPr>
        <w:t>3  –</w:t>
      </w:r>
      <w:proofErr w:type="gramEnd"/>
      <w:r w:rsidRPr="00F03B47">
        <w:rPr>
          <w:rFonts w:cs="Calibri"/>
        </w:rPr>
        <w:t xml:space="preserve"> Os dados oficiais verificáveis a que se refere a alínea c) do n.º 2 são os constantes das bases de dados do INE, da Autoridade Tributária, do Censos ou do Turismo de Portugal, a estabelecer </w:t>
      </w:r>
    </w:p>
    <w:p w:rsidR="00F03B47" w:rsidRPr="00F03B47" w:rsidRDefault="00F03B47" w:rsidP="00F03B47">
      <w:pPr>
        <w:spacing w:after="0" w:line="360" w:lineRule="auto"/>
        <w:jc w:val="both"/>
        <w:rPr>
          <w:rFonts w:cs="Calibri"/>
        </w:rPr>
      </w:pPr>
      <w:r w:rsidRPr="00F03B47">
        <w:rPr>
          <w:rFonts w:cs="Calibri"/>
        </w:rPr>
        <w:t>através de portaria do membro do governo responsável pela área do turismo.</w:t>
      </w:r>
    </w:p>
    <w:p w:rsidR="00F03B47" w:rsidRPr="00F03B47" w:rsidRDefault="00F03B47" w:rsidP="00F03B47">
      <w:pPr>
        <w:spacing w:after="0" w:line="360" w:lineRule="auto"/>
        <w:jc w:val="both"/>
        <w:rPr>
          <w:rFonts w:cs="Calibri"/>
        </w:rPr>
      </w:pPr>
      <w:r w:rsidRPr="00F03B47">
        <w:rPr>
          <w:rFonts w:cs="Calibri"/>
        </w:rPr>
        <w:t>4 - A portaria referida no número anterior pode ainda estabelecer outros elementos a constar obrigatoriamente dos regulamentos municipais, assim como regras a que os mesmos devam estar sujeitos.</w:t>
      </w:r>
    </w:p>
    <w:p w:rsidR="00F03B47" w:rsidRPr="00F03B47" w:rsidRDefault="00F03B47" w:rsidP="00F03B47">
      <w:pPr>
        <w:spacing w:after="0" w:line="360" w:lineRule="auto"/>
        <w:jc w:val="both"/>
        <w:rPr>
          <w:rFonts w:cs="Calibri"/>
        </w:rPr>
      </w:pPr>
    </w:p>
    <w:p w:rsidR="00F03B47" w:rsidRDefault="00F03B47" w:rsidP="00F03B47">
      <w:pPr>
        <w:spacing w:after="0" w:line="360" w:lineRule="auto"/>
        <w:jc w:val="both"/>
        <w:rPr>
          <w:rFonts w:cs="Calibri"/>
        </w:rPr>
      </w:pPr>
      <w:r w:rsidRPr="00F03B47">
        <w:rPr>
          <w:rFonts w:cs="Calibri"/>
        </w:rPr>
        <w:t>5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856E63" w:rsidRDefault="00856E63" w:rsidP="0024418B">
      <w:pPr>
        <w:spacing w:after="0" w:line="360" w:lineRule="auto"/>
        <w:jc w:val="center"/>
        <w:rPr>
          <w:rFonts w:cs="Calibri"/>
        </w:rPr>
      </w:pPr>
      <w:bookmarkStart w:id="2" w:name="_Hlk519095439"/>
    </w:p>
    <w:p w:rsidR="00856E63" w:rsidRPr="00856E63" w:rsidRDefault="00856E63" w:rsidP="00856E63">
      <w:pPr>
        <w:spacing w:after="0" w:line="360" w:lineRule="auto"/>
        <w:jc w:val="center"/>
        <w:rPr>
          <w:rFonts w:cs="Calibri"/>
        </w:rPr>
      </w:pPr>
      <w:r w:rsidRPr="00856E63">
        <w:rPr>
          <w:rFonts w:cs="Calibri"/>
        </w:rPr>
        <w:t>Artigo 4.º</w:t>
      </w:r>
    </w:p>
    <w:p w:rsidR="00856E63" w:rsidRPr="00856E63" w:rsidRDefault="00856E63" w:rsidP="00856E63">
      <w:pPr>
        <w:spacing w:after="0" w:line="360" w:lineRule="auto"/>
        <w:jc w:val="center"/>
        <w:rPr>
          <w:rFonts w:cs="Calibri"/>
        </w:rPr>
      </w:pPr>
      <w:r w:rsidRPr="00856E63">
        <w:rPr>
          <w:rFonts w:cs="Calibri"/>
        </w:rPr>
        <w:t>Disposições finais</w:t>
      </w:r>
    </w:p>
    <w:p w:rsidR="00856E63" w:rsidRPr="00856E63" w:rsidRDefault="00856E63" w:rsidP="00856E63">
      <w:pPr>
        <w:spacing w:after="0" w:line="360" w:lineRule="auto"/>
        <w:jc w:val="both"/>
        <w:rPr>
          <w:rFonts w:cs="Calibri"/>
        </w:rPr>
      </w:pPr>
      <w:r w:rsidRPr="00856E63">
        <w:rPr>
          <w:rFonts w:cs="Calibri"/>
        </w:rPr>
        <w:t>As alterações previstas na presente lei ou qualquer regulamento municipal que venha a ser aprovado não podem, de qualquer forma, prejudicar os estabelecimentos de alojamento local já existentes e registados à data da sua entrada em vigor.</w:t>
      </w:r>
    </w:p>
    <w:p w:rsidR="00856E63" w:rsidRPr="00856E63" w:rsidRDefault="00856E63" w:rsidP="00856E63">
      <w:pPr>
        <w:spacing w:after="0" w:line="360" w:lineRule="auto"/>
        <w:jc w:val="center"/>
        <w:rPr>
          <w:rFonts w:cs="Calibri"/>
        </w:rPr>
      </w:pPr>
    </w:p>
    <w:p w:rsidR="00856E63" w:rsidRDefault="00856E63" w:rsidP="00856E63">
      <w:pPr>
        <w:spacing w:after="0" w:line="360" w:lineRule="auto"/>
        <w:jc w:val="center"/>
        <w:rPr>
          <w:rFonts w:cs="Calibri"/>
        </w:rPr>
      </w:pPr>
      <w:r w:rsidRPr="0024418B">
        <w:rPr>
          <w:rFonts w:cs="Calibri"/>
        </w:rPr>
        <w:t xml:space="preserve">Artigo </w:t>
      </w:r>
      <w:r>
        <w:rPr>
          <w:rFonts w:cs="Calibri"/>
        </w:rPr>
        <w:t>5</w:t>
      </w:r>
      <w:r w:rsidRPr="0024418B">
        <w:rPr>
          <w:rFonts w:cs="Calibri"/>
        </w:rPr>
        <w:t>.º</w:t>
      </w:r>
    </w:p>
    <w:p w:rsidR="00856E63" w:rsidRPr="00856E63" w:rsidRDefault="00856E63" w:rsidP="00856E63">
      <w:pPr>
        <w:spacing w:after="0" w:line="360" w:lineRule="auto"/>
        <w:jc w:val="both"/>
        <w:rPr>
          <w:rFonts w:cs="Calibri"/>
        </w:rPr>
      </w:pPr>
      <w:r w:rsidRPr="00856E63">
        <w:rPr>
          <w:rFonts w:cs="Calibri"/>
        </w:rPr>
        <w:t xml:space="preserve">A Portaria referida no artigo 15.ª A deve ser aprovada no prazo de 90 dias a contar </w:t>
      </w:r>
      <w:r w:rsidR="00F338F9" w:rsidRPr="00856E63">
        <w:rPr>
          <w:rFonts w:cs="Calibri"/>
        </w:rPr>
        <w:t>da publicação</w:t>
      </w:r>
      <w:r w:rsidRPr="00856E63">
        <w:rPr>
          <w:rFonts w:cs="Calibri"/>
        </w:rPr>
        <w:t xml:space="preserve"> da presente lei.</w:t>
      </w:r>
    </w:p>
    <w:p w:rsidR="00856E63" w:rsidRPr="00856E63" w:rsidRDefault="00856E63" w:rsidP="00856E63">
      <w:pPr>
        <w:spacing w:after="0" w:line="360" w:lineRule="auto"/>
        <w:jc w:val="center"/>
        <w:rPr>
          <w:rFonts w:cs="Calibri"/>
        </w:rPr>
      </w:pPr>
    </w:p>
    <w:p w:rsidR="00856E63" w:rsidRPr="00856E63" w:rsidRDefault="00856E63" w:rsidP="00856E63">
      <w:pPr>
        <w:spacing w:after="0" w:line="360" w:lineRule="auto"/>
        <w:jc w:val="center"/>
        <w:rPr>
          <w:rFonts w:cs="Calibri"/>
        </w:rPr>
      </w:pPr>
      <w:r w:rsidRPr="00856E63">
        <w:rPr>
          <w:rFonts w:cs="Calibri"/>
        </w:rPr>
        <w:t>Artigo 6.º</w:t>
      </w:r>
    </w:p>
    <w:p w:rsidR="00856E63" w:rsidRPr="00856E63" w:rsidRDefault="00856E63" w:rsidP="00856E63">
      <w:pPr>
        <w:spacing w:after="0" w:line="360" w:lineRule="auto"/>
        <w:jc w:val="center"/>
        <w:rPr>
          <w:rFonts w:cs="Calibri"/>
        </w:rPr>
      </w:pPr>
      <w:r w:rsidRPr="00856E63">
        <w:rPr>
          <w:rFonts w:cs="Calibri"/>
        </w:rPr>
        <w:t>Entrada em vigor</w:t>
      </w:r>
    </w:p>
    <w:p w:rsidR="00856E63" w:rsidRPr="00856E63" w:rsidRDefault="00856E63" w:rsidP="00856E63">
      <w:pPr>
        <w:spacing w:after="0" w:line="360" w:lineRule="auto"/>
        <w:jc w:val="both"/>
        <w:rPr>
          <w:rFonts w:cs="Calibri"/>
        </w:rPr>
      </w:pPr>
      <w:r w:rsidRPr="00856E63">
        <w:rPr>
          <w:rFonts w:cs="Calibri"/>
        </w:rPr>
        <w:t>Anterior artigo 3.º.»</w:t>
      </w:r>
    </w:p>
    <w:bookmarkEnd w:id="0"/>
    <w:p w:rsidR="00856E63" w:rsidRPr="00856E63" w:rsidRDefault="00856E63" w:rsidP="00856E63">
      <w:pPr>
        <w:spacing w:after="0" w:line="360" w:lineRule="auto"/>
        <w:jc w:val="center"/>
        <w:rPr>
          <w:rFonts w:cs="Calibri"/>
        </w:rPr>
      </w:pPr>
    </w:p>
    <w:p w:rsidR="00856E63" w:rsidRPr="00856E63" w:rsidRDefault="00856E63" w:rsidP="00856E63">
      <w:pPr>
        <w:spacing w:after="0" w:line="360" w:lineRule="auto"/>
        <w:jc w:val="center"/>
        <w:rPr>
          <w:rFonts w:cs="Calibri"/>
        </w:rPr>
      </w:pPr>
    </w:p>
    <w:p w:rsidR="00856E63" w:rsidRPr="00856E63" w:rsidRDefault="00856E63" w:rsidP="00856E63">
      <w:pPr>
        <w:spacing w:after="0" w:line="360" w:lineRule="auto"/>
        <w:jc w:val="center"/>
        <w:rPr>
          <w:rFonts w:cs="Calibri"/>
        </w:rPr>
      </w:pPr>
      <w:r w:rsidRPr="00856E63">
        <w:rPr>
          <w:rFonts w:cs="Calibri"/>
        </w:rPr>
        <w:t>Palácio de São Bento, 11 de julho de 2018</w:t>
      </w:r>
    </w:p>
    <w:p w:rsidR="00856E63" w:rsidRPr="00856E63" w:rsidRDefault="00856E63" w:rsidP="00856E63">
      <w:pPr>
        <w:spacing w:after="0" w:line="360" w:lineRule="auto"/>
        <w:jc w:val="center"/>
        <w:rPr>
          <w:rFonts w:cs="Calibri"/>
        </w:rPr>
      </w:pPr>
      <w:r w:rsidRPr="00856E63">
        <w:rPr>
          <w:rFonts w:cs="Calibri"/>
        </w:rPr>
        <w:t xml:space="preserve">Os Deputados do Grupo Parlamentar do CDS-PP, </w:t>
      </w:r>
    </w:p>
    <w:p w:rsidR="00856E63" w:rsidRDefault="00856E63" w:rsidP="00856E63">
      <w:pPr>
        <w:spacing w:after="0" w:line="360" w:lineRule="auto"/>
        <w:jc w:val="center"/>
        <w:rPr>
          <w:rFonts w:cs="Calibri"/>
        </w:rPr>
      </w:pPr>
      <w:r w:rsidRPr="00856E63">
        <w:rPr>
          <w:rFonts w:cs="Calibri"/>
        </w:rPr>
        <w:tab/>
      </w:r>
    </w:p>
    <w:p w:rsidR="00856E63" w:rsidRDefault="00856E63" w:rsidP="00856E63">
      <w:pPr>
        <w:spacing w:after="0" w:line="360" w:lineRule="auto"/>
        <w:jc w:val="center"/>
        <w:rPr>
          <w:rFonts w:cs="Calibri"/>
        </w:rPr>
      </w:pPr>
    </w:p>
    <w:bookmarkEnd w:id="2"/>
    <w:p w:rsidR="00856E63" w:rsidRDefault="00856E63" w:rsidP="00856E63">
      <w:pPr>
        <w:spacing w:after="0" w:line="360" w:lineRule="auto"/>
        <w:jc w:val="center"/>
        <w:rPr>
          <w:rFonts w:cs="Calibri"/>
        </w:rPr>
      </w:pPr>
    </w:p>
    <w:sectPr w:rsidR="00856E63" w:rsidSect="00C67BB0">
      <w:headerReference w:type="default" r:id="rId6"/>
      <w:footerReference w:type="default" r:id="rId7"/>
      <w:pgSz w:w="11906" w:h="16838"/>
      <w:pgMar w:top="2552" w:right="1701" w:bottom="1021" w:left="1701" w:header="1560"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221" w:rsidRDefault="00B22221" w:rsidP="00C67BB0">
      <w:pPr>
        <w:spacing w:after="0" w:line="240" w:lineRule="auto"/>
      </w:pPr>
      <w:r>
        <w:separator/>
      </w:r>
    </w:p>
  </w:endnote>
  <w:endnote w:type="continuationSeparator" w:id="0">
    <w:p w:rsidR="00B22221" w:rsidRDefault="00B22221" w:rsidP="00C6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2D" w:rsidRDefault="00B2222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221" w:rsidRDefault="00B22221" w:rsidP="00C67BB0">
      <w:pPr>
        <w:spacing w:after="0" w:line="240" w:lineRule="auto"/>
      </w:pPr>
      <w:r>
        <w:separator/>
      </w:r>
    </w:p>
  </w:footnote>
  <w:footnote w:type="continuationSeparator" w:id="0">
    <w:p w:rsidR="00B22221" w:rsidRDefault="00B22221" w:rsidP="00C6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56" w:rsidRDefault="00EF084D" w:rsidP="00D06F56">
    <w:pPr>
      <w:spacing w:line="360" w:lineRule="auto"/>
      <w:jc w:val="center"/>
      <w:rPr>
        <w:rFonts w:ascii="Arial" w:hAnsi="Arial"/>
        <w:b/>
        <w:i/>
        <w:color w:val="0093DD"/>
        <w:sz w:val="28"/>
      </w:rPr>
    </w:pPr>
    <w:r>
      <w:rPr>
        <w:rFonts w:ascii="Arial" w:hAnsi="Arial"/>
        <w:b/>
        <w:color w:val="0093DD"/>
        <w:sz w:val="28"/>
      </w:rPr>
      <w:t>Grupo Parlamentar</w:t>
    </w:r>
    <w:r w:rsidR="00C67BB0">
      <w:rPr>
        <w:noProof/>
      </w:rPr>
      <w:drawing>
        <wp:anchor distT="0" distB="0" distL="114300" distR="114300" simplePos="0" relativeHeight="251659264" behindDoc="0" locked="0" layoutInCell="1" allowOverlap="1">
          <wp:simplePos x="0" y="0"/>
          <wp:positionH relativeFrom="column">
            <wp:posOffset>4996180</wp:posOffset>
          </wp:positionH>
          <wp:positionV relativeFrom="paragraph">
            <wp:posOffset>-206375</wp:posOffset>
          </wp:positionV>
          <wp:extent cx="760730" cy="932180"/>
          <wp:effectExtent l="0" t="0" r="127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42D" w:rsidRDefault="00B222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B0"/>
    <w:rsid w:val="000819AF"/>
    <w:rsid w:val="00084E63"/>
    <w:rsid w:val="000E2B41"/>
    <w:rsid w:val="00117623"/>
    <w:rsid w:val="001B12BA"/>
    <w:rsid w:val="0024418B"/>
    <w:rsid w:val="00280B8F"/>
    <w:rsid w:val="00335BD9"/>
    <w:rsid w:val="00362360"/>
    <w:rsid w:val="00382EAA"/>
    <w:rsid w:val="00387BC9"/>
    <w:rsid w:val="003B4B82"/>
    <w:rsid w:val="004C23A2"/>
    <w:rsid w:val="00510261"/>
    <w:rsid w:val="00510823"/>
    <w:rsid w:val="00614629"/>
    <w:rsid w:val="006B15DC"/>
    <w:rsid w:val="007E09D8"/>
    <w:rsid w:val="00856E63"/>
    <w:rsid w:val="00A10849"/>
    <w:rsid w:val="00A86EE1"/>
    <w:rsid w:val="00AD3A20"/>
    <w:rsid w:val="00B22221"/>
    <w:rsid w:val="00C67BB0"/>
    <w:rsid w:val="00D448FA"/>
    <w:rsid w:val="00E21D74"/>
    <w:rsid w:val="00E2724E"/>
    <w:rsid w:val="00E80688"/>
    <w:rsid w:val="00EE3ECF"/>
    <w:rsid w:val="00EF084D"/>
    <w:rsid w:val="00F03B47"/>
    <w:rsid w:val="00F338F9"/>
    <w:rsid w:val="00F43637"/>
    <w:rsid w:val="00F72F7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E216F"/>
  <w15:chartTrackingRefBased/>
  <w15:docId w15:val="{8AE4C17E-93CB-423A-89AC-B9693E14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BB0"/>
    <w:pPr>
      <w:suppressAutoHyphens/>
      <w:spacing w:after="200" w:line="276" w:lineRule="auto"/>
    </w:pPr>
    <w:rPr>
      <w:rFonts w:ascii="Calibri" w:eastAsia="Calibri" w:hAnsi="Calibri" w:cs="Times New Roman"/>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rsid w:val="00C67BB0"/>
    <w:pPr>
      <w:suppressLineNumbers/>
      <w:tabs>
        <w:tab w:val="center" w:pos="4252"/>
        <w:tab w:val="right" w:pos="8504"/>
      </w:tabs>
      <w:spacing w:after="0" w:line="100" w:lineRule="atLeast"/>
    </w:pPr>
  </w:style>
  <w:style w:type="character" w:customStyle="1" w:styleId="RodapCarter">
    <w:name w:val="Rodapé Caráter"/>
    <w:basedOn w:val="Tipodeletrapredefinidodopargrafo"/>
    <w:link w:val="Rodap"/>
    <w:rsid w:val="00C67BB0"/>
    <w:rPr>
      <w:rFonts w:ascii="Calibri" w:eastAsia="Calibri" w:hAnsi="Calibri" w:cs="Times New Roman"/>
      <w:lang w:eastAsia="ar-SA"/>
    </w:rPr>
  </w:style>
  <w:style w:type="paragraph" w:styleId="Cabealho">
    <w:name w:val="header"/>
    <w:basedOn w:val="Normal"/>
    <w:link w:val="CabealhoCarter"/>
    <w:uiPriority w:val="99"/>
    <w:unhideWhenUsed/>
    <w:rsid w:val="00C67BB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67BB0"/>
    <w:rPr>
      <w:rFonts w:ascii="Calibri" w:eastAsia="Calibri" w:hAnsi="Calibri" w:cs="Times New Roman"/>
      <w:lang w:eastAsia="ar-SA"/>
    </w:rPr>
  </w:style>
  <w:style w:type="paragraph" w:styleId="PargrafodaLista">
    <w:name w:val="List Paragraph"/>
    <w:basedOn w:val="Normal"/>
    <w:uiPriority w:val="34"/>
    <w:qFormat/>
    <w:rsid w:val="0085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Proposta de alteração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333291</IDFase>
    <NRIniciativa xmlns="http://schemas.microsoft.com/sharepoint/v3">653</NRIniciativa>
    <IDIniciativa xmlns="http://schemas.microsoft.com/sharepoint/v3">41797</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D2A085CD-2ED4-43B0-87A9-B0ADF0AEE7D2}"/>
</file>

<file path=customXml/itemProps2.xml><?xml version="1.0" encoding="utf-8"?>
<ds:datastoreItem xmlns:ds="http://schemas.openxmlformats.org/officeDocument/2006/customXml" ds:itemID="{6844298D-1149-49A9-A594-753D548E6324}"/>
</file>

<file path=customXml/itemProps3.xml><?xml version="1.0" encoding="utf-8"?>
<ds:datastoreItem xmlns:ds="http://schemas.openxmlformats.org/officeDocument/2006/customXml" ds:itemID="{F233DF34-DB05-4A25-9A79-0AC2CDE90A3A}"/>
</file>

<file path=docProps/app.xml><?xml version="1.0" encoding="utf-8"?>
<Properties xmlns="http://schemas.openxmlformats.org/officeDocument/2006/extended-properties" xmlns:vt="http://schemas.openxmlformats.org/officeDocument/2006/docPropsVTypes">
  <Template>Normal</Template>
  <TotalTime>42</TotalTime>
  <Pages>2</Pages>
  <Words>387</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 Propostas de alteração CDS</dc:title>
  <dc:subject/>
  <dc:creator>Otília Ferreira Gomes</dc:creator>
  <cp:keywords/>
  <dc:description/>
  <cp:lastModifiedBy>Otília Ferreira Gomes</cp:lastModifiedBy>
  <cp:revision>4</cp:revision>
  <dcterms:created xsi:type="dcterms:W3CDTF">2018-07-11T17:58:00Z</dcterms:created>
  <dcterms:modified xsi:type="dcterms:W3CDTF">2018-07-11T19:19:00Z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82700</vt:r8>
  </property>
</Properties>
</file>