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43E" w:rsidRDefault="00D8143E">
      <w:pPr>
        <w:jc w:val="both"/>
        <w:rPr>
          <w:rFonts w:hint="eastAsia"/>
        </w:rPr>
      </w:pPr>
    </w:p>
    <w:p w:rsidR="00D8143E" w:rsidRDefault="004C5EEA">
      <w:pPr>
        <w:spacing w:line="360" w:lineRule="auto"/>
        <w:jc w:val="center"/>
        <w:rPr>
          <w:rFonts w:ascii="Calibri" w:eastAsia="Calibri" w:hAnsi="Calibri" w:cs="Calibri"/>
          <w:sz w:val="22"/>
        </w:rPr>
      </w:pPr>
      <w:r>
        <w:rPr>
          <w:noProof/>
        </w:rPr>
        <w:drawing>
          <wp:inline distT="0" distB="0" distL="0" distR="0">
            <wp:extent cx="1704975" cy="1238250"/>
            <wp:effectExtent l="0" t="0" r="0" b="0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43E" w:rsidRDefault="00D8143E">
      <w:pPr>
        <w:spacing w:line="360" w:lineRule="auto"/>
        <w:jc w:val="center"/>
        <w:rPr>
          <w:rFonts w:eastAsia="Liberation Serif" w:cs="Liberation Serif"/>
          <w:b/>
          <w:caps/>
        </w:rPr>
      </w:pPr>
    </w:p>
    <w:p w:rsidR="00D8143E" w:rsidRDefault="004C5EEA">
      <w:pPr>
        <w:spacing w:line="360" w:lineRule="auto"/>
        <w:jc w:val="center"/>
        <w:rPr>
          <w:rFonts w:eastAsia="Liberation Serif" w:cs="Liberation Serif"/>
          <w:b/>
          <w:caps/>
          <w:sz w:val="28"/>
          <w:szCs w:val="28"/>
        </w:rPr>
      </w:pPr>
      <w:r>
        <w:rPr>
          <w:rFonts w:eastAsia="Liberation Serif" w:cs="Liberation Serif"/>
          <w:b/>
          <w:caps/>
          <w:sz w:val="28"/>
          <w:szCs w:val="28"/>
        </w:rPr>
        <w:t>Projeto de RESOLUÇÃO Nº</w:t>
      </w:r>
      <w:r w:rsidR="00775730">
        <w:rPr>
          <w:rFonts w:eastAsia="Liberation Serif" w:cs="Liberation Serif"/>
          <w:b/>
          <w:caps/>
          <w:sz w:val="28"/>
          <w:szCs w:val="28"/>
        </w:rPr>
        <w:t xml:space="preserve"> 477</w:t>
      </w:r>
      <w:bookmarkStart w:id="0" w:name="_GoBack"/>
      <w:bookmarkEnd w:id="0"/>
      <w:r>
        <w:rPr>
          <w:rFonts w:eastAsia="Liberation Serif" w:cs="Liberation Serif"/>
          <w:b/>
          <w:caps/>
          <w:sz w:val="28"/>
          <w:szCs w:val="28"/>
        </w:rPr>
        <w:t>/XIV/1ª.</w:t>
      </w:r>
    </w:p>
    <w:p w:rsidR="00D8143E" w:rsidRDefault="00D8143E">
      <w:pPr>
        <w:spacing w:line="360" w:lineRule="auto"/>
        <w:jc w:val="center"/>
        <w:rPr>
          <w:rFonts w:eastAsia="Calibri" w:cs="Calibri"/>
          <w:sz w:val="22"/>
        </w:rPr>
      </w:pPr>
    </w:p>
    <w:p w:rsidR="00D8143E" w:rsidRDefault="004C5EEA">
      <w:pPr>
        <w:spacing w:line="360" w:lineRule="auto"/>
        <w:jc w:val="center"/>
        <w:rPr>
          <w:rFonts w:hint="eastAsia"/>
        </w:rPr>
      </w:pPr>
      <w:r>
        <w:rPr>
          <w:rFonts w:eastAsia="Liberation Serif" w:cs="Liberation Serif"/>
          <w:b/>
        </w:rPr>
        <w:t xml:space="preserve">PELO </w:t>
      </w:r>
      <w:bookmarkStart w:id="1" w:name="__DdeLink__223_3498598853"/>
      <w:r>
        <w:rPr>
          <w:rFonts w:eastAsia="Liberation Serif" w:cs="Liberation Serif"/>
          <w:b/>
        </w:rPr>
        <w:t>ESCOAMENTO E FIXAÇÃO DE UM PREÇO MÍNIMO A PAGAR AO PRODUTOR</w:t>
      </w:r>
      <w:bookmarkEnd w:id="1"/>
      <w:r>
        <w:rPr>
          <w:rFonts w:eastAsia="Liberation Serif" w:cs="Liberation Serif"/>
          <w:b/>
        </w:rPr>
        <w:t xml:space="preserve"> E PELO COMBATE ÀS PRÁTICAS DESLEAIS NAS RELAÇÕES COMERCIAIS ENTRE A GRANDE DISTRIBUIÇÃO E OS FORNECEDORES DE PRODUTOS ALIMENTARES</w:t>
      </w:r>
    </w:p>
    <w:p w:rsidR="00D8143E" w:rsidRDefault="00D8143E">
      <w:pPr>
        <w:spacing w:line="360" w:lineRule="auto"/>
        <w:jc w:val="center"/>
        <w:rPr>
          <w:rFonts w:hint="eastAsia"/>
        </w:rPr>
      </w:pPr>
    </w:p>
    <w:p w:rsidR="00D8143E" w:rsidRDefault="004C5EEA">
      <w:pPr>
        <w:pStyle w:val="Corpodetexto"/>
        <w:jc w:val="both"/>
        <w:rPr>
          <w:rFonts w:hint="eastAsia"/>
        </w:rPr>
      </w:pPr>
      <w:r>
        <w:t xml:space="preserve">A agricultura e as pescas são os principais suportes da alimentação, e os bens alimentares não podem ser confundidos com quaisquer outros, porque são fundamentais à sobrevivência. A alimentação é um Direito Humano e a produção alimentar ocupa um lugar estratégico em termos de soberania. </w:t>
      </w:r>
    </w:p>
    <w:p w:rsidR="00D8143E" w:rsidRDefault="004C5EEA">
      <w:pPr>
        <w:pStyle w:val="Corpodetexto"/>
        <w:jc w:val="both"/>
        <w:rPr>
          <w:rFonts w:hint="eastAsia"/>
        </w:rPr>
      </w:pPr>
      <w:r>
        <w:t>Um país, como o nosso, com uma política alimentar tão dependente das importações, tem uma enorme fragilidade, seja porque fica nas mãos de especulação internacional que determina o preço dos bens alimentares, seja por outras situações que possam conduzir ao encerramento das fronteiras e/ou limitar as importações, questão para a qual o país foi seriamente alertado a propósito da pandemia provocada pelo SARS-Cov-2.</w:t>
      </w:r>
    </w:p>
    <w:p w:rsidR="00D8143E" w:rsidRDefault="004C5EEA">
      <w:pPr>
        <w:pStyle w:val="Corpodetexto"/>
        <w:jc w:val="both"/>
        <w:rPr>
          <w:rFonts w:hint="eastAsia"/>
        </w:rPr>
      </w:pPr>
      <w:r>
        <w:t>Para além da agravante do país depender significativamente do estrangeiro para alimentar a sua população, o setor está dominado por meia dúzia de grandes empresas que concentram o circuito de distribuição/comercialização nas grandes superfícies, as quais obtêm margens de lucro escandalosas, sufocando os produtores nacionais pagando preços baixíssimos à produção e vendendo a preços muitas vezes exorbitantes aos consumidores. Estes grupos constituem-se igualmente como grandes importadores d</w:t>
      </w:r>
      <w:r w:rsidR="00B55DBC">
        <w:t>e produtos alimentares.</w:t>
      </w:r>
    </w:p>
    <w:p w:rsidR="00D8143E" w:rsidRDefault="004C5EEA">
      <w:pPr>
        <w:pStyle w:val="Corpodetexto"/>
        <w:jc w:val="both"/>
        <w:rPr>
          <w:rFonts w:hint="eastAsia"/>
        </w:rPr>
      </w:pPr>
      <w:r>
        <w:t>A concentração da distribuição/comercialização em grandes cadeias, para além de esmagar o preço aos produtores, conduziu, ao longo dos anos, ao encerramento de milhares de pequenos estabelecimentos a retalho no setor alimentar, tais como mercearias e minimercados, criando claras disfunções a montante, levando a que os pequenos e médios agricultores reduzissem consideravelmente os pontos de venda para o escoamento dos seus produtos.</w:t>
      </w:r>
    </w:p>
    <w:p w:rsidR="00D8143E" w:rsidRDefault="004C5EEA">
      <w:pPr>
        <w:pStyle w:val="Corpodetexto"/>
        <w:jc w:val="both"/>
        <w:rPr>
          <w:rFonts w:hint="eastAsia"/>
        </w:rPr>
      </w:pPr>
      <w:r>
        <w:t>A eclosão da pandemia da Covid-19 no nosso país veio demonstrar claramente os desequilíbrios existentes na distribuição/comercialização alimentar. O encerramento de grande parte da restauração, mercados públicos e pequeno comércio, e as dificuldades impostas ao nível das vendas diretas, vieram conduzir a uma concentração exponencial do comércio a retalho nas grandes superfícies, o que tem criado inúmeras dificuldades no acesso aos mercados por parte dos pequenos e médios agricultores.</w:t>
      </w:r>
    </w:p>
    <w:p w:rsidR="00D8143E" w:rsidRDefault="004C5EEA">
      <w:pPr>
        <w:pStyle w:val="Corpodetexto"/>
        <w:jc w:val="both"/>
        <w:rPr>
          <w:rFonts w:hint="eastAsia"/>
        </w:rPr>
      </w:pPr>
      <w:r>
        <w:t xml:space="preserve">Face às dificuldades de escoamento, o Governo pediu às grandes superfícies e cadeias de distribuição para reforçarem as suas encomendas junto dos produtores locais, ajudando a fazer o escoamento dos </w:t>
      </w:r>
      <w:r>
        <w:lastRenderedPageBreak/>
        <w:t>seus produtos. Contudo, as empresas da grande distribuição estão mais preocupadas com os seus lucros do que propriamente com os problemas dos agricultores.</w:t>
      </w:r>
    </w:p>
    <w:p w:rsidR="00D8143E" w:rsidRDefault="004C5EEA">
      <w:pPr>
        <w:pStyle w:val="Corpodetexto"/>
        <w:jc w:val="both"/>
        <w:rPr>
          <w:rFonts w:hint="eastAsia"/>
        </w:rPr>
      </w:pPr>
      <w:r>
        <w:t>Trabalham, no entanto, a sua imagem, quando promovem campanhas publicitárias para explorar a maior sensibilidade dos c</w:t>
      </w:r>
      <w:r w:rsidR="00B55DBC">
        <w:t>onsumidores</w:t>
      </w:r>
      <w:r>
        <w:t xml:space="preserve"> neste período difícil em que vivemos, passando a mensagem do alegado apoio a quem trabalha a terra e cria animais, através do escoamento da produção nacional, como se se tratasse efetivamente de ajudar os agricultores. Todavia, as supostas ajudas mais não são do que campanhas para esmagar o preço dos produtos. </w:t>
      </w:r>
    </w:p>
    <w:p w:rsidR="00D8143E" w:rsidRDefault="004C5EEA">
      <w:pPr>
        <w:pStyle w:val="Corpodetexto"/>
        <w:jc w:val="both"/>
        <w:rPr>
          <w:rFonts w:hint="eastAsia"/>
        </w:rPr>
      </w:pPr>
      <w:r>
        <w:t>Ora, os pequenos e médios agricultores, os pescadores e o país não podem ficar reféns da grande distribuição, que monopoliza e determina tudo. Os resultados têm-se visto, com claros desequilíbrios, com sérias dificuldades de entrada dos pequenos e médios produtores nestas cadeias, pela reduzida dimensão e capacidade financeira dos produtores, sobretudo decorrente do esmagamento crónico do preço dos produtos. É impossível aos pequenos e médios produtores sobreviverem com o valor que lhes é pago pelos grandes distribuidores e com os prazos tardios de pagamento.</w:t>
      </w:r>
    </w:p>
    <w:p w:rsidR="00D8143E" w:rsidRDefault="004C5EEA">
      <w:pPr>
        <w:pStyle w:val="Corpodetexto"/>
        <w:jc w:val="both"/>
        <w:rPr>
          <w:rFonts w:hint="eastAsia"/>
        </w:rPr>
      </w:pPr>
      <w:r>
        <w:t xml:space="preserve">Estas atividades agrícolas e piscatórias já por si acarretam um grau de incerteza muito grande, com riscos económicos, sobretudo quando estão dependentes de fatores alheios aos produtores e pescadores, como sejam as condições meteorológicas ou de carácter biológico. </w:t>
      </w:r>
    </w:p>
    <w:p w:rsidR="00D8143E" w:rsidRDefault="004C5EEA">
      <w:pPr>
        <w:pStyle w:val="Corpodetexto"/>
        <w:jc w:val="both"/>
        <w:rPr>
          <w:rFonts w:hint="eastAsia"/>
        </w:rPr>
      </w:pPr>
      <w:r>
        <w:t xml:space="preserve">Defender a pequena agricultura, muita dela de âmbito familiar, permite o desenvolvimento da economia local, garantir a nossa soberania e o caminho para a sustentabilidade. Para além da produção e do consumo local serem a garantia de ter no prato alimentos mais saudáveis, os circuitos curtos de distribuição garantem uma pegada ecológica menor e contribuem para a descarbonização, para o combate ao desperdício alimentar e para a segurança da qualidade do produto. </w:t>
      </w:r>
    </w:p>
    <w:p w:rsidR="00D8143E" w:rsidRDefault="004C5EEA">
      <w:pPr>
        <w:pStyle w:val="Corpodetexto"/>
        <w:jc w:val="both"/>
        <w:rPr>
          <w:rFonts w:hint="eastAsia"/>
        </w:rPr>
      </w:pPr>
      <w:r>
        <w:t>No sentido de defender a agricultura familiar, em 2018 foi aprovado o Projeto de Resolução n.º 1493/XIII do PEV (Apoio à agricultura familiar como forma de garantir a gestão e manutenção do espaço rural) que, co</w:t>
      </w:r>
      <w:r w:rsidR="00B55DBC">
        <w:t xml:space="preserve">ntribuiu para dar </w:t>
      </w:r>
      <w:r>
        <w:t>origem à Resolução da Assembleia da República n.º 138/2018. Esta Resolução, entre várias medidas, recomendou ao Governo a regulamentação e a fiscalização da atividade das grandes superfícies, nomeadamente quanto aos preços praticados e aos prazos de pagamento aos fornecedores, bem como a aplicação de quotas mínimas para comercialização de bens agroalimentares de produção nacional e local.</w:t>
      </w:r>
    </w:p>
    <w:p w:rsidR="00D8143E" w:rsidRDefault="004C5EEA">
      <w:pPr>
        <w:pStyle w:val="Corpodetexto"/>
        <w:jc w:val="both"/>
        <w:rPr>
          <w:rFonts w:hint="eastAsia"/>
        </w:rPr>
      </w:pPr>
      <w:r>
        <w:t>Tendo em consideração a concentração do setor alimentar em meia dúzia de grandes empresas, não é suficiente fazer, como o Governo, pedidos às grandes distribuidoras para gerarem alguma sensibilidade social e ambiental. É determinante criar mecanismos eficazes para evitar que a médio e longo prazo a nossa agricultura e a nossa pescas venham a definhar, cavando ainda mais a nossa dependência alimentar face a outros países. Urgem medidas para valorizar e defender a produção alimentar sustentável.</w:t>
      </w:r>
    </w:p>
    <w:p w:rsidR="00D8143E" w:rsidRDefault="004C5EEA">
      <w:pPr>
        <w:pStyle w:val="Corpodetexto"/>
        <w:jc w:val="both"/>
        <w:rPr>
          <w:rFonts w:hint="eastAsia"/>
        </w:rPr>
      </w:pPr>
      <w:r>
        <w:t xml:space="preserve">Se antes os problemas enunciados já eram evidentes, com a pandemia da Covid-19, foi demonstrada a maior necessidade de implementar medidas para impedir o esmagamento dos preços, que passam, sobretudo, por atenuar as assimetrias de poder negocial entre a grande distribuição e os produtores, impedindo as práticas comerciais abusivas por parte das grandes cadeias. </w:t>
      </w:r>
    </w:p>
    <w:p w:rsidR="00D8143E" w:rsidRDefault="004C5EEA">
      <w:pPr>
        <w:pStyle w:val="Corpodetexto"/>
        <w:jc w:val="both"/>
        <w:rPr>
          <w:rFonts w:hint="eastAsia"/>
        </w:rPr>
      </w:pPr>
      <w:r>
        <w:t xml:space="preserve">Ora, a regulamentação tem de passar pela proibição de práticas comercias desleais nas relações entre os produtores e as grandes cadeias de distribuição e na definição de um preço mínimo na origem que acompanhe a evolução dos custos de produção, invertendo a tendência dos últimos anos em que os </w:t>
      </w:r>
      <w:r>
        <w:lastRenderedPageBreak/>
        <w:t>custos de produção aumentam consideravelmente, enquanto que o valor pago pelos produtos em natureza tem vindo a descer.</w:t>
      </w:r>
    </w:p>
    <w:p w:rsidR="00D8143E" w:rsidRDefault="004C5EEA">
      <w:pPr>
        <w:pStyle w:val="Corpodetexto"/>
        <w:jc w:val="both"/>
        <w:rPr>
          <w:rFonts w:hint="eastAsia"/>
        </w:rPr>
      </w:pPr>
      <w:r>
        <w:t>O poder negocial entre o produtor e as grandes superfícies é desequilibrado, levando, por essa via, a condutas menos próprias, senão mesmo ilegais, pelo menos imorais, impostas de forma unilateral como por exemplo o pagamento tardio (a 90 dias), cancelamento de encomendas em cima da hora, exigência de descontos e pagamentos pelas perdas dos produtos perecíveis, entre outras práticas que estão instaladas no setor da grande distribuição.</w:t>
      </w:r>
    </w:p>
    <w:p w:rsidR="00D8143E" w:rsidRDefault="004C5EEA">
      <w:pPr>
        <w:pStyle w:val="Corpodetexto"/>
        <w:jc w:val="both"/>
        <w:rPr>
          <w:rFonts w:hint="eastAsia"/>
        </w:rPr>
      </w:pPr>
      <w:r>
        <w:t>No seguimento do exposto, tendo em conta que é premente tomar medidas para defender as atividades agrícolas e piscatórias, o Partido Ecologista Os Verdes considera fundamental que seja garantido o preço mínimo dos produtos agrícolas e do pescado a pagar aos agricultores e pescadores, sendo também fundamental pôr fim às práticas comerciais desleais das grandes empresas de distribuição para com os produtores. É com os propósitos referidos que o Grupo Parlamentar Os Verdes apresenta o seguinte Projeto de Resolução:</w:t>
      </w:r>
    </w:p>
    <w:p w:rsidR="00D8143E" w:rsidRDefault="00D8143E">
      <w:pPr>
        <w:pStyle w:val="Corpodetexto"/>
        <w:jc w:val="both"/>
        <w:rPr>
          <w:rFonts w:hint="eastAsia"/>
        </w:rPr>
      </w:pPr>
    </w:p>
    <w:p w:rsidR="00D8143E" w:rsidRDefault="004C5EEA">
      <w:pPr>
        <w:pStyle w:val="Corpodetexto"/>
        <w:jc w:val="both"/>
        <w:rPr>
          <w:rFonts w:hint="eastAsia"/>
          <w:b/>
          <w:bCs/>
        </w:rPr>
      </w:pPr>
      <w:r>
        <w:rPr>
          <w:b/>
          <w:bCs/>
        </w:rPr>
        <w:t xml:space="preserve">Ao abrigo das disposições constitucionais e regimentais aplicáveis, a Assembleia da República delibera recomendar ao Governo que: </w:t>
      </w:r>
    </w:p>
    <w:p w:rsidR="00D8143E" w:rsidRDefault="004C5EEA" w:rsidP="004C5EEA">
      <w:pPr>
        <w:ind w:left="284" w:hanging="284"/>
        <w:jc w:val="both"/>
        <w:rPr>
          <w:rFonts w:hint="eastAsia"/>
          <w:b/>
          <w:bCs/>
        </w:rPr>
      </w:pPr>
      <w:r>
        <w:rPr>
          <w:b/>
          <w:bCs/>
        </w:rPr>
        <w:t>1- Tome medidas eficazes para impedir as práticas desleais nas relações comerciais entre as grandes empresas de distribuição e os fornecedores de produtos alimentares, nomeadamente quanto ao pagamento a preço justo de produtos em natureza ou de primeira transformação.</w:t>
      </w:r>
    </w:p>
    <w:p w:rsidR="00D8143E" w:rsidRDefault="00D8143E">
      <w:pPr>
        <w:jc w:val="both"/>
        <w:rPr>
          <w:rFonts w:hint="eastAsia"/>
          <w:b/>
          <w:bCs/>
        </w:rPr>
      </w:pPr>
    </w:p>
    <w:p w:rsidR="00D8143E" w:rsidRDefault="004C5EEA" w:rsidP="004C5EEA">
      <w:pPr>
        <w:ind w:left="284" w:hanging="284"/>
        <w:jc w:val="both"/>
        <w:rPr>
          <w:rFonts w:hint="eastAsia"/>
          <w:b/>
          <w:bCs/>
        </w:rPr>
      </w:pPr>
      <w:r>
        <w:rPr>
          <w:b/>
          <w:bCs/>
        </w:rPr>
        <w:t>2- Estabeleça o preço mínimo dos produtos agrícolas e pescado de forma a impedir o estrangulamento dos preços pagos ao produtor, ouvindo previamente as organizações representativas dos setores.</w:t>
      </w:r>
    </w:p>
    <w:p w:rsidR="00D8143E" w:rsidRDefault="00D8143E">
      <w:pPr>
        <w:jc w:val="both"/>
        <w:rPr>
          <w:rFonts w:hint="eastAsia"/>
          <w:b/>
          <w:bCs/>
        </w:rPr>
      </w:pPr>
    </w:p>
    <w:p w:rsidR="00D8143E" w:rsidRDefault="004C5EEA" w:rsidP="004C5EEA">
      <w:pPr>
        <w:ind w:left="284" w:hanging="284"/>
        <w:jc w:val="both"/>
        <w:rPr>
          <w:rFonts w:hint="eastAsia"/>
          <w:b/>
          <w:bCs/>
        </w:rPr>
      </w:pPr>
      <w:r>
        <w:rPr>
          <w:b/>
          <w:bCs/>
        </w:rPr>
        <w:t xml:space="preserve">3- Crie os mecanismos necessários para escoar com urgência os produtos, a preços justos, da pequena e média agricultura e agricultura familiar, que se encontram sem mercado, ou com dificuldade de mercado, devido à pandemia da COVID-19. </w:t>
      </w:r>
    </w:p>
    <w:p w:rsidR="00D8143E" w:rsidRDefault="00D8143E">
      <w:pPr>
        <w:jc w:val="both"/>
        <w:rPr>
          <w:rFonts w:hint="eastAsia"/>
        </w:rPr>
      </w:pPr>
    </w:p>
    <w:p w:rsidR="00D8143E" w:rsidRDefault="00D8143E">
      <w:pPr>
        <w:rPr>
          <w:rFonts w:eastAsia="Calibri" w:cs="Calibri"/>
          <w:sz w:val="22"/>
        </w:rPr>
      </w:pPr>
    </w:p>
    <w:p w:rsidR="00D8143E" w:rsidRDefault="00D8143E">
      <w:pPr>
        <w:rPr>
          <w:rFonts w:eastAsia="Calibri" w:cs="Calibri"/>
          <w:sz w:val="22"/>
        </w:rPr>
      </w:pPr>
    </w:p>
    <w:p w:rsidR="00D8143E" w:rsidRDefault="004C5EEA">
      <w:pPr>
        <w:rPr>
          <w:rFonts w:hint="eastAsia"/>
        </w:rPr>
      </w:pPr>
      <w:r>
        <w:rPr>
          <w:rFonts w:eastAsia="Liberation Serif" w:cs="Liberation Serif"/>
        </w:rPr>
        <w:t xml:space="preserve">Assembleia da República, Palácio de S. Bento, 26 de maio de 2020 </w:t>
      </w:r>
    </w:p>
    <w:p w:rsidR="00D8143E" w:rsidRDefault="00D8143E">
      <w:pPr>
        <w:jc w:val="center"/>
        <w:rPr>
          <w:rFonts w:eastAsia="Calibri" w:cs="Calibri"/>
          <w:sz w:val="22"/>
        </w:rPr>
      </w:pPr>
    </w:p>
    <w:p w:rsidR="00D8143E" w:rsidRDefault="00D8143E">
      <w:pPr>
        <w:jc w:val="center"/>
        <w:rPr>
          <w:rFonts w:eastAsia="Liberation Serif" w:cs="Liberation Serif"/>
        </w:rPr>
      </w:pPr>
    </w:p>
    <w:p w:rsidR="00D8143E" w:rsidRDefault="00D8143E">
      <w:pPr>
        <w:jc w:val="center"/>
        <w:rPr>
          <w:rFonts w:eastAsia="Liberation Serif" w:cs="Liberation Serif"/>
        </w:rPr>
      </w:pPr>
    </w:p>
    <w:p w:rsidR="00D8143E" w:rsidRDefault="004C5EEA" w:rsidP="004C5EEA">
      <w:pPr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>Os Deputados,</w:t>
      </w:r>
    </w:p>
    <w:p w:rsidR="00D8143E" w:rsidRDefault="00D8143E">
      <w:pPr>
        <w:jc w:val="center"/>
        <w:rPr>
          <w:rFonts w:eastAsia="Liberation Serif" w:cs="Liberation Serif"/>
        </w:rPr>
      </w:pPr>
    </w:p>
    <w:p w:rsidR="00D8143E" w:rsidRDefault="00D8143E">
      <w:pPr>
        <w:jc w:val="center"/>
        <w:rPr>
          <w:rFonts w:hint="eastAsia"/>
        </w:rPr>
      </w:pPr>
    </w:p>
    <w:p w:rsidR="00D8143E" w:rsidRDefault="00D8143E">
      <w:pPr>
        <w:jc w:val="center"/>
        <w:rPr>
          <w:rFonts w:eastAsia="Calibri" w:cs="Calibri"/>
          <w:sz w:val="22"/>
        </w:rPr>
      </w:pPr>
    </w:p>
    <w:p w:rsidR="00D8143E" w:rsidRDefault="004C5EEA">
      <w:pPr>
        <w:jc w:val="center"/>
        <w:rPr>
          <w:rFonts w:hint="eastAsia"/>
        </w:rPr>
      </w:pPr>
      <w:r>
        <w:rPr>
          <w:rFonts w:eastAsia="Liberation Serif" w:cs="Liberation Serif"/>
        </w:rPr>
        <w:t>José Luís Ferreira</w:t>
      </w:r>
      <w:r>
        <w:rPr>
          <w:rFonts w:eastAsia="Liberation Serif" w:cs="Liberation Serif"/>
        </w:rPr>
        <w:tab/>
      </w:r>
      <w:r>
        <w:rPr>
          <w:rFonts w:eastAsia="Liberation Serif" w:cs="Liberation Serif"/>
        </w:rPr>
        <w:tab/>
      </w:r>
      <w:r>
        <w:rPr>
          <w:rFonts w:eastAsia="Liberation Serif" w:cs="Liberation Serif"/>
        </w:rPr>
        <w:tab/>
      </w:r>
      <w:r>
        <w:rPr>
          <w:rFonts w:eastAsia="Liberation Serif" w:cs="Liberation Serif"/>
        </w:rPr>
        <w:tab/>
      </w:r>
      <w:r>
        <w:rPr>
          <w:rFonts w:eastAsia="Liberation Serif" w:cs="Liberation Serif"/>
        </w:rPr>
        <w:tab/>
        <w:t>Mariana Silva</w:t>
      </w:r>
    </w:p>
    <w:sectPr w:rsidR="00D8143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3E"/>
    <w:rsid w:val="004C5EEA"/>
    <w:rsid w:val="00775730"/>
    <w:rsid w:val="00B55DBC"/>
    <w:rsid w:val="00D8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A4B0"/>
  <w15:docId w15:val="{1085CBF7-BF86-4BEA-8FB8-50EF99E2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pt-PT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Projetos de Resolução</DesignacaoTipoIniciativa>
    <TipoIniciativa xmlns="2e97e158-1a31-4bff-9a0a-f8ebffd34ea8">R</TipoIniciativa>
    <DataDocumento xmlns="2e97e158-1a31-4bff-9a0a-f8ebffd34ea8">2020-05-25T23:00:00+00:00</DataDocumento>
    <IDFase xmlns="2e97e158-1a31-4bff-9a0a-f8ebffd34ea8">0</IDFase>
    <IDIniciativa xmlns="2e97e158-1a31-4bff-9a0a-f8ebffd34ea8">44914</IDIniciativa>
    <TipoDocumento xmlns="2e97e158-1a31-4bff-9a0a-f8ebffd34ea8">Texto</TipoDocumento>
    <NomeOriginalFicheiro xmlns="2e97e158-1a31-4bff-9a0a-f8ebffd34ea8">pjr477-XIV.docx</NomeOriginalFicheiro>
    <NROrdem xmlns="2e97e158-1a31-4bff-9a0a-f8ebffd34ea8">0</NROrdem>
    <PublicarInternet xmlns="2e97e158-1a31-4bff-9a0a-f8ebffd34ea8">true</PublicarInternet>
    <NRIniciativa xmlns="2e97e158-1a31-4bff-9a0a-f8ebffd34ea8">477</NRIniciativa>
    <Legislatura xmlns="2e97e158-1a31-4bff-9a0a-f8ebffd34ea8">XIV</Legislatura>
    <Sessao xmlns="2e97e158-1a31-4bff-9a0a-f8ebffd34ea8">1ª</Sessao>
  </documentManagement>
</p:properties>
</file>

<file path=customXml/itemProps1.xml><?xml version="1.0" encoding="utf-8"?>
<ds:datastoreItem xmlns:ds="http://schemas.openxmlformats.org/officeDocument/2006/customXml" ds:itemID="{D055206E-F8C3-4535-96F5-BAAC4C65263C}"/>
</file>

<file path=customXml/itemProps2.xml><?xml version="1.0" encoding="utf-8"?>
<ds:datastoreItem xmlns:ds="http://schemas.openxmlformats.org/officeDocument/2006/customXml" ds:itemID="{9DFB945F-5952-41D1-BAF8-1D809455A8DA}"/>
</file>

<file path=customXml/itemProps3.xml><?xml version="1.0" encoding="utf-8"?>
<ds:datastoreItem xmlns:ds="http://schemas.openxmlformats.org/officeDocument/2006/customXml" ds:itemID="{45DDADC4-EC58-430D-B3BD-F1307FC2FF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subject/>
  <dc:creator>Heloísa Apolónia</dc:creator>
  <dc:description/>
  <cp:lastModifiedBy>Pedro Camacho</cp:lastModifiedBy>
  <cp:revision>2</cp:revision>
  <dcterms:created xsi:type="dcterms:W3CDTF">2020-05-26T14:57:00Z</dcterms:created>
  <dcterms:modified xsi:type="dcterms:W3CDTF">2020-05-26T14:57:00Z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0x01010023E375C1FBF74D42B2ACAE3B54768E18002467D4126C4F1348B90A2F529CCBE711</vt:lpwstr>
  </property>
  <property fmtid="{D5CDD505-2E9C-101B-9397-08002B2CF9AE}" pid="9" name="Order">
    <vt:r8>219200</vt:r8>
  </property>
</Properties>
</file>