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92" w:rsidRPr="00902F95" w:rsidRDefault="00707292" w:rsidP="00707292">
      <w:pPr>
        <w:tabs>
          <w:tab w:val="left" w:pos="709"/>
        </w:tabs>
        <w:jc w:val="center"/>
        <w:rPr>
          <w:i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-767080</wp:posOffset>
            </wp:positionV>
            <wp:extent cx="1266825" cy="809625"/>
            <wp:effectExtent l="0" t="0" r="9525" b="9525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292" w:rsidRPr="009B023F" w:rsidRDefault="00707292" w:rsidP="00707292">
      <w:pPr>
        <w:tabs>
          <w:tab w:val="left" w:pos="709"/>
        </w:tabs>
        <w:jc w:val="center"/>
        <w:rPr>
          <w:i/>
          <w:szCs w:val="24"/>
        </w:rPr>
      </w:pPr>
      <w:r w:rsidRPr="009B023F">
        <w:rPr>
          <w:i/>
          <w:szCs w:val="24"/>
        </w:rPr>
        <w:t>Grupo Parlamentar</w:t>
      </w:r>
    </w:p>
    <w:p w:rsidR="00707292" w:rsidRDefault="00707292" w:rsidP="00707292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707292" w:rsidRPr="00BB2031" w:rsidRDefault="00707292" w:rsidP="00BB2031">
      <w:pPr>
        <w:spacing w:before="240" w:line="360" w:lineRule="auto"/>
        <w:jc w:val="center"/>
        <w:rPr>
          <w:rFonts w:ascii="Cambria" w:hAnsi="Cambria"/>
          <w:b/>
          <w:sz w:val="28"/>
          <w:szCs w:val="28"/>
          <w:lang w:val="es-ES"/>
        </w:rPr>
      </w:pPr>
      <w:r w:rsidRPr="00BB2031">
        <w:rPr>
          <w:rFonts w:ascii="Cambria" w:hAnsi="Cambria" w:cs="Arial"/>
          <w:b/>
          <w:color w:val="000000"/>
          <w:sz w:val="28"/>
          <w:szCs w:val="28"/>
          <w:lang w:val="es-ES"/>
        </w:rPr>
        <w:t xml:space="preserve">VOTO DE PESAR </w:t>
      </w:r>
      <w:r w:rsidRPr="00BB2031">
        <w:rPr>
          <w:rFonts w:ascii="Cambria" w:hAnsi="Cambria"/>
          <w:b/>
          <w:sz w:val="28"/>
          <w:szCs w:val="28"/>
          <w:lang w:val="es-ES"/>
        </w:rPr>
        <w:t>N</w:t>
      </w:r>
      <w:proofErr w:type="gramStart"/>
      <w:r w:rsidRPr="00BB2031">
        <w:rPr>
          <w:rFonts w:ascii="Cambria" w:hAnsi="Cambria"/>
          <w:b/>
          <w:sz w:val="28"/>
          <w:szCs w:val="28"/>
          <w:lang w:val="es-ES"/>
        </w:rPr>
        <w:t>.º</w:t>
      </w:r>
      <w:proofErr w:type="gramEnd"/>
      <w:r w:rsidRPr="00BB2031">
        <w:rPr>
          <w:rFonts w:ascii="Cambria" w:hAnsi="Cambria"/>
          <w:b/>
          <w:sz w:val="28"/>
          <w:szCs w:val="28"/>
          <w:lang w:val="es-ES"/>
        </w:rPr>
        <w:t xml:space="preserve"> </w:t>
      </w:r>
      <w:bookmarkStart w:id="0" w:name="_GoBack"/>
      <w:bookmarkEnd w:id="0"/>
      <w:r w:rsidR="00E901A1">
        <w:rPr>
          <w:rFonts w:ascii="Cambria" w:hAnsi="Cambria"/>
          <w:b/>
          <w:sz w:val="28"/>
          <w:szCs w:val="28"/>
          <w:lang w:val="es-ES"/>
        </w:rPr>
        <w:t>111</w:t>
      </w:r>
      <w:r w:rsidRPr="00BB2031">
        <w:rPr>
          <w:rFonts w:ascii="Cambria" w:hAnsi="Cambria"/>
          <w:b/>
          <w:sz w:val="28"/>
          <w:szCs w:val="28"/>
          <w:lang w:val="es-ES"/>
        </w:rPr>
        <w:t xml:space="preserve">/XIV/1.ª </w:t>
      </w:r>
    </w:p>
    <w:p w:rsidR="00707292" w:rsidRPr="00BB2031" w:rsidRDefault="00707292" w:rsidP="00BB2031">
      <w:pPr>
        <w:spacing w:before="240" w:line="360" w:lineRule="auto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 w:rsidRPr="00BB2031">
        <w:rPr>
          <w:rFonts w:ascii="Cambria" w:hAnsi="Cambria" w:cs="Arial"/>
          <w:b/>
          <w:bCs/>
          <w:color w:val="000000"/>
          <w:sz w:val="28"/>
          <w:szCs w:val="28"/>
        </w:rPr>
        <w:t>PELAS MORTES DE FIRMINO GUAJAJARA E DE RAIMUNDO GUAJAJARA</w:t>
      </w:r>
    </w:p>
    <w:p w:rsidR="00BB2031" w:rsidRDefault="00BB2031" w:rsidP="00BB2031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</w:p>
    <w:p w:rsidR="0041178D" w:rsidRPr="00BB2031" w:rsidRDefault="00707292" w:rsidP="00BB2031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BB2031">
        <w:rPr>
          <w:rFonts w:ascii="Cambria" w:hAnsi="Cambria"/>
          <w:sz w:val="24"/>
          <w:szCs w:val="24"/>
        </w:rPr>
        <w:t xml:space="preserve">Firmino </w:t>
      </w:r>
      <w:proofErr w:type="spellStart"/>
      <w:r w:rsidRPr="00BB2031">
        <w:rPr>
          <w:rFonts w:ascii="Cambria" w:hAnsi="Cambria"/>
          <w:sz w:val="24"/>
          <w:szCs w:val="24"/>
        </w:rPr>
        <w:t>Prexede</w:t>
      </w:r>
      <w:proofErr w:type="spellEnd"/>
      <w:r w:rsidRPr="00BB2031">
        <w:rPr>
          <w:rFonts w:ascii="Cambria" w:hAnsi="Cambria"/>
          <w:sz w:val="24"/>
          <w:szCs w:val="24"/>
        </w:rPr>
        <w:t xml:space="preserve"> </w:t>
      </w:r>
      <w:proofErr w:type="spellStart"/>
      <w:r w:rsidRPr="00BB2031">
        <w:rPr>
          <w:rFonts w:ascii="Cambria" w:hAnsi="Cambria"/>
          <w:sz w:val="24"/>
          <w:szCs w:val="24"/>
        </w:rPr>
        <w:t>Guajajara</w:t>
      </w:r>
      <w:proofErr w:type="spellEnd"/>
      <w:r w:rsidRPr="00BB2031">
        <w:rPr>
          <w:rFonts w:ascii="Cambria" w:hAnsi="Cambria"/>
          <w:sz w:val="24"/>
          <w:szCs w:val="24"/>
        </w:rPr>
        <w:t xml:space="preserve"> e Raimundo </w:t>
      </w:r>
      <w:r w:rsidR="00660003" w:rsidRPr="00BB2031">
        <w:rPr>
          <w:rFonts w:ascii="Cambria" w:hAnsi="Cambria"/>
          <w:sz w:val="24"/>
          <w:szCs w:val="24"/>
        </w:rPr>
        <w:t>Benício</w:t>
      </w:r>
      <w:r w:rsidRPr="00BB2031">
        <w:rPr>
          <w:rFonts w:ascii="Cambria" w:hAnsi="Cambria"/>
          <w:sz w:val="24"/>
          <w:szCs w:val="24"/>
        </w:rPr>
        <w:t xml:space="preserve"> Guajajara foram assassinados a 7 de dezembro </w:t>
      </w:r>
      <w:r w:rsidR="0041178D" w:rsidRPr="00BB2031">
        <w:rPr>
          <w:rFonts w:ascii="Cambria" w:hAnsi="Cambria"/>
          <w:sz w:val="24"/>
          <w:szCs w:val="24"/>
        </w:rPr>
        <w:t>nas terras indígenas Cana Brava, no</w:t>
      </w:r>
      <w:r w:rsidRPr="00BB2031">
        <w:rPr>
          <w:rFonts w:ascii="Cambria" w:hAnsi="Cambria"/>
          <w:sz w:val="24"/>
          <w:szCs w:val="24"/>
        </w:rPr>
        <w:t xml:space="preserve"> estado do Maranhão</w:t>
      </w:r>
      <w:r w:rsidR="0041178D" w:rsidRPr="00BB2031">
        <w:rPr>
          <w:rFonts w:ascii="Cambria" w:hAnsi="Cambria"/>
          <w:sz w:val="24"/>
          <w:szCs w:val="24"/>
        </w:rPr>
        <w:t xml:space="preserve">, </w:t>
      </w:r>
      <w:r w:rsidRPr="00BB2031">
        <w:rPr>
          <w:rFonts w:ascii="Cambria" w:hAnsi="Cambria"/>
          <w:sz w:val="24"/>
          <w:szCs w:val="24"/>
        </w:rPr>
        <w:t xml:space="preserve">Brasil. No mesmo ataque, mais </w:t>
      </w:r>
      <w:r w:rsidR="007D68F9" w:rsidRPr="00BB2031">
        <w:rPr>
          <w:rFonts w:ascii="Cambria" w:hAnsi="Cambria"/>
          <w:sz w:val="24"/>
          <w:szCs w:val="24"/>
        </w:rPr>
        <w:t>quatro</w:t>
      </w:r>
      <w:r w:rsidRPr="00BB2031">
        <w:rPr>
          <w:rFonts w:ascii="Cambria" w:hAnsi="Cambria"/>
          <w:sz w:val="24"/>
          <w:szCs w:val="24"/>
        </w:rPr>
        <w:t xml:space="preserve"> pessoas</w:t>
      </w:r>
      <w:r w:rsidR="0041178D" w:rsidRPr="00BB2031">
        <w:rPr>
          <w:rFonts w:ascii="Cambria" w:hAnsi="Cambria"/>
          <w:sz w:val="24"/>
          <w:szCs w:val="24"/>
        </w:rPr>
        <w:t xml:space="preserve"> ficaram feridas</w:t>
      </w:r>
      <w:r w:rsidRPr="00BB2031">
        <w:rPr>
          <w:rFonts w:ascii="Cambria" w:hAnsi="Cambria"/>
          <w:sz w:val="24"/>
          <w:szCs w:val="24"/>
        </w:rPr>
        <w:t>.</w:t>
      </w:r>
      <w:r w:rsidR="0041178D" w:rsidRPr="00BB2031">
        <w:rPr>
          <w:rFonts w:ascii="Cambria" w:hAnsi="Cambria"/>
          <w:sz w:val="24"/>
          <w:szCs w:val="24"/>
        </w:rPr>
        <w:t xml:space="preserve"> Estes cidadãos regressavam de uma reunião com uma empresa de produção elétrica, onde estiveram a defender os seus direitos, quando foram atacados a tiro a partir de um carro em movimento</w:t>
      </w:r>
      <w:r w:rsidR="007D68F9" w:rsidRPr="00BB2031">
        <w:rPr>
          <w:rFonts w:ascii="Cambria" w:hAnsi="Cambria"/>
          <w:sz w:val="24"/>
          <w:szCs w:val="24"/>
        </w:rPr>
        <w:t>.</w:t>
      </w:r>
    </w:p>
    <w:p w:rsidR="00707292" w:rsidRPr="00BB2031" w:rsidRDefault="00707292" w:rsidP="00BB2031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BB2031">
        <w:rPr>
          <w:rFonts w:ascii="Cambria" w:hAnsi="Cambria"/>
          <w:sz w:val="24"/>
          <w:szCs w:val="24"/>
        </w:rPr>
        <w:t xml:space="preserve">Firmino Guajajara e Raimundo Guajajara </w:t>
      </w:r>
      <w:r w:rsidR="0041178D" w:rsidRPr="00BB2031">
        <w:rPr>
          <w:rFonts w:ascii="Cambria" w:hAnsi="Cambria"/>
          <w:sz w:val="24"/>
          <w:szCs w:val="24"/>
        </w:rPr>
        <w:t xml:space="preserve">são membros da tribo Guajajara, conhecida como guardiã da </w:t>
      </w:r>
      <w:r w:rsidR="007D68F9" w:rsidRPr="00BB2031">
        <w:rPr>
          <w:rFonts w:ascii="Cambria" w:hAnsi="Cambria"/>
          <w:sz w:val="24"/>
          <w:szCs w:val="24"/>
        </w:rPr>
        <w:t xml:space="preserve">Amazónia por </w:t>
      </w:r>
      <w:r w:rsidR="0041178D" w:rsidRPr="00BB2031">
        <w:rPr>
          <w:rFonts w:ascii="Cambria" w:hAnsi="Cambria"/>
          <w:sz w:val="24"/>
          <w:szCs w:val="24"/>
        </w:rPr>
        <w:t>protege</w:t>
      </w:r>
      <w:r w:rsidR="007D68F9" w:rsidRPr="00BB2031">
        <w:rPr>
          <w:rFonts w:ascii="Cambria" w:hAnsi="Cambria"/>
          <w:sz w:val="24"/>
          <w:szCs w:val="24"/>
        </w:rPr>
        <w:t>r</w:t>
      </w:r>
      <w:r w:rsidR="0041178D" w:rsidRPr="00BB2031">
        <w:rPr>
          <w:rFonts w:ascii="Cambria" w:hAnsi="Cambria"/>
          <w:sz w:val="24"/>
          <w:szCs w:val="24"/>
        </w:rPr>
        <w:t xml:space="preserve"> a floresta. Este ataque ocorreu perto da zona onde há </w:t>
      </w:r>
      <w:r w:rsidR="007D68F9" w:rsidRPr="00BB2031">
        <w:rPr>
          <w:rFonts w:ascii="Cambria" w:hAnsi="Cambria"/>
          <w:sz w:val="24"/>
          <w:szCs w:val="24"/>
        </w:rPr>
        <w:t xml:space="preserve">apenas </w:t>
      </w:r>
      <w:r w:rsidR="0041178D" w:rsidRPr="00BB2031">
        <w:rPr>
          <w:rFonts w:ascii="Cambria" w:hAnsi="Cambria"/>
          <w:sz w:val="24"/>
          <w:szCs w:val="24"/>
        </w:rPr>
        <w:t>um mês outro membro da tribo, Paulo Guajajara, foi morto a tiro por madeireiros.</w:t>
      </w:r>
    </w:p>
    <w:p w:rsidR="0041178D" w:rsidRPr="00BB2031" w:rsidRDefault="0041178D" w:rsidP="00BB2031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BB2031">
        <w:rPr>
          <w:rFonts w:ascii="Cambria" w:hAnsi="Cambria"/>
          <w:sz w:val="24"/>
          <w:szCs w:val="24"/>
        </w:rPr>
        <w:lastRenderedPageBreak/>
        <w:t xml:space="preserve">Os povos indígenas do Brasil têm sofrido uma escalada de violência durante a presidência de Jair Bolsonaro que mantém uma retórica de redução dos direitos dos povos </w:t>
      </w:r>
      <w:r w:rsidR="007D68F9" w:rsidRPr="00BB2031">
        <w:rPr>
          <w:rFonts w:ascii="Cambria" w:hAnsi="Cambria"/>
          <w:sz w:val="24"/>
          <w:szCs w:val="24"/>
        </w:rPr>
        <w:t>nativos</w:t>
      </w:r>
      <w:r w:rsidRPr="00BB2031">
        <w:rPr>
          <w:rFonts w:ascii="Cambria" w:hAnsi="Cambria"/>
          <w:sz w:val="24"/>
          <w:szCs w:val="24"/>
        </w:rPr>
        <w:t xml:space="preserve"> e de desproteção ambiental da Amazónia. Os conflitos com madeireiros e mineiros agravaram-se</w:t>
      </w:r>
      <w:r w:rsidR="007D68F9" w:rsidRPr="00BB2031">
        <w:rPr>
          <w:rFonts w:ascii="Cambria" w:hAnsi="Cambria"/>
          <w:sz w:val="24"/>
          <w:szCs w:val="24"/>
        </w:rPr>
        <w:t>, tanto mais que existe a expectativa de que o governo Bolsonaro legalize a ocupação fundiária feita de forma ilegal e violenta</w:t>
      </w:r>
      <w:r w:rsidRPr="00BB2031">
        <w:rPr>
          <w:rFonts w:ascii="Cambria" w:hAnsi="Cambria"/>
          <w:sz w:val="24"/>
          <w:szCs w:val="24"/>
        </w:rPr>
        <w:t>.</w:t>
      </w:r>
    </w:p>
    <w:p w:rsidR="007D68F9" w:rsidRPr="00BB2031" w:rsidRDefault="007D68F9" w:rsidP="00BB2031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BB2031">
        <w:rPr>
          <w:rFonts w:ascii="Cambria" w:hAnsi="Cambria"/>
          <w:sz w:val="24"/>
          <w:szCs w:val="24"/>
        </w:rPr>
        <w:t>Estes ataques configuram um ataque à vida, mas também ao direito ao território, aos modos de vida e à segurança dos povos nativos e devem ser motivo de preocupação e condenação.</w:t>
      </w:r>
    </w:p>
    <w:p w:rsidR="00707292" w:rsidRPr="00BB2031" w:rsidRDefault="0041178D" w:rsidP="00BB2031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BB2031">
        <w:rPr>
          <w:rFonts w:ascii="Cambria" w:hAnsi="Cambria"/>
          <w:sz w:val="24"/>
          <w:szCs w:val="24"/>
        </w:rPr>
        <w:t xml:space="preserve">Estes ativistas ambientais </w:t>
      </w:r>
      <w:r w:rsidR="007D68F9" w:rsidRPr="00BB2031">
        <w:rPr>
          <w:rFonts w:ascii="Cambria" w:hAnsi="Cambria"/>
          <w:sz w:val="24"/>
          <w:szCs w:val="24"/>
        </w:rPr>
        <w:t>foram assassinados a defender um bem essencial a toda a Humanidade. O ataque ocorreu durante a Conferência das Nações Unidas sobre as Mudanças Climáticas, a COP25 e coloca em evidência a necessidade de aliar a proteção da natureza ao respeito dos direitos humanos.</w:t>
      </w:r>
    </w:p>
    <w:p w:rsidR="0041178D" w:rsidRPr="00BB2031" w:rsidRDefault="0041178D" w:rsidP="00BB2031">
      <w:pPr>
        <w:spacing w:before="240" w:line="360" w:lineRule="auto"/>
        <w:rPr>
          <w:rFonts w:ascii="Cambria" w:hAnsi="Cambria"/>
          <w:sz w:val="24"/>
          <w:szCs w:val="24"/>
        </w:rPr>
      </w:pPr>
    </w:p>
    <w:p w:rsidR="00707292" w:rsidRPr="00BB2031" w:rsidRDefault="00707292" w:rsidP="00BB2031">
      <w:pPr>
        <w:spacing w:before="240" w:line="360" w:lineRule="auto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BB2031">
        <w:rPr>
          <w:rFonts w:ascii="Cambria" w:hAnsi="Cambria" w:cs="Arial"/>
          <w:i/>
          <w:color w:val="000000"/>
          <w:sz w:val="24"/>
          <w:szCs w:val="24"/>
        </w:rPr>
        <w:t xml:space="preserve">A Assembleia da República, reunida em plenário, manifesta o seu pesar pelo assassinato de Firmino </w:t>
      </w:r>
      <w:proofErr w:type="spellStart"/>
      <w:r w:rsidRPr="00BB2031">
        <w:rPr>
          <w:rFonts w:ascii="Cambria" w:hAnsi="Cambria" w:cs="Arial"/>
          <w:i/>
          <w:color w:val="000000"/>
          <w:sz w:val="24"/>
          <w:szCs w:val="24"/>
        </w:rPr>
        <w:t>Prexede</w:t>
      </w:r>
      <w:proofErr w:type="spellEnd"/>
      <w:r w:rsidRPr="00BB2031">
        <w:rPr>
          <w:rFonts w:ascii="Cambria" w:hAnsi="Cambria" w:cs="Arial"/>
          <w:i/>
          <w:color w:val="000000"/>
          <w:sz w:val="24"/>
          <w:szCs w:val="24"/>
        </w:rPr>
        <w:t xml:space="preserve"> </w:t>
      </w:r>
      <w:proofErr w:type="spellStart"/>
      <w:r w:rsidRPr="00BB2031">
        <w:rPr>
          <w:rFonts w:ascii="Cambria" w:hAnsi="Cambria" w:cs="Arial"/>
          <w:i/>
          <w:color w:val="000000"/>
          <w:sz w:val="24"/>
          <w:szCs w:val="24"/>
        </w:rPr>
        <w:t>Guajajara</w:t>
      </w:r>
      <w:proofErr w:type="spellEnd"/>
      <w:r w:rsidRPr="00BB2031">
        <w:rPr>
          <w:rFonts w:ascii="Cambria" w:hAnsi="Cambria" w:cs="Arial"/>
          <w:i/>
          <w:color w:val="000000"/>
          <w:sz w:val="24"/>
          <w:szCs w:val="24"/>
        </w:rPr>
        <w:t xml:space="preserve"> e de Raimundo Benício Guajajara e transmite as suas condolências ao povo brasileiro e aos seus familiares.</w:t>
      </w:r>
    </w:p>
    <w:p w:rsidR="00707292" w:rsidRPr="00BB2031" w:rsidRDefault="00707292" w:rsidP="00BB2031">
      <w:pPr>
        <w:spacing w:before="240" w:line="360" w:lineRule="auto"/>
        <w:jc w:val="both"/>
        <w:rPr>
          <w:rFonts w:ascii="Cambria" w:hAnsi="Cambria"/>
          <w:i/>
          <w:sz w:val="24"/>
          <w:szCs w:val="24"/>
        </w:rPr>
      </w:pPr>
    </w:p>
    <w:p w:rsidR="00707292" w:rsidRPr="00BB2031" w:rsidRDefault="00707292" w:rsidP="00BB2031">
      <w:pPr>
        <w:spacing w:before="240" w:line="360" w:lineRule="auto"/>
        <w:jc w:val="center"/>
        <w:rPr>
          <w:rFonts w:ascii="Cambria" w:hAnsi="Cambria"/>
          <w:sz w:val="24"/>
          <w:szCs w:val="24"/>
        </w:rPr>
      </w:pPr>
      <w:r w:rsidRPr="00BB2031">
        <w:rPr>
          <w:rFonts w:ascii="Cambria" w:hAnsi="Cambria"/>
          <w:sz w:val="24"/>
          <w:szCs w:val="24"/>
        </w:rPr>
        <w:lastRenderedPageBreak/>
        <w:t>Assembleia da República, 10 de dezembro de 2019.</w:t>
      </w:r>
    </w:p>
    <w:p w:rsidR="00707292" w:rsidRDefault="00707292" w:rsidP="00BB2031">
      <w:pPr>
        <w:spacing w:before="240" w:line="360" w:lineRule="auto"/>
        <w:jc w:val="center"/>
        <w:rPr>
          <w:rFonts w:ascii="Cambria" w:hAnsi="Cambria"/>
          <w:sz w:val="24"/>
          <w:szCs w:val="24"/>
        </w:rPr>
      </w:pPr>
      <w:r w:rsidRPr="00BB2031">
        <w:rPr>
          <w:rFonts w:ascii="Cambria" w:hAnsi="Cambria"/>
          <w:sz w:val="24"/>
          <w:szCs w:val="24"/>
        </w:rPr>
        <w:t>As Deputadas e os Deputados do Bloco de Esquerda,</w:t>
      </w:r>
    </w:p>
    <w:p w:rsidR="00BB2031" w:rsidRDefault="00BB2031" w:rsidP="00BB2031">
      <w:pPr>
        <w:spacing w:before="240" w:line="360" w:lineRule="auto"/>
        <w:rPr>
          <w:rFonts w:ascii="Cambria" w:hAnsi="Cambria"/>
          <w:sz w:val="24"/>
          <w:szCs w:val="24"/>
        </w:rPr>
      </w:pPr>
    </w:p>
    <w:p w:rsidR="00BB2031" w:rsidRPr="00BB2031" w:rsidRDefault="00BB2031" w:rsidP="00BB2031">
      <w:pPr>
        <w:spacing w:before="120" w:line="360" w:lineRule="auto"/>
        <w:jc w:val="center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BB2031">
        <w:rPr>
          <w:rFonts w:ascii="Cambria" w:eastAsiaTheme="minorHAnsi" w:hAnsi="Cambria" w:cstheme="minorBidi"/>
          <w:sz w:val="24"/>
          <w:szCs w:val="24"/>
          <w:lang w:eastAsia="en-US"/>
        </w:rPr>
        <w:t>Nelson Peralta; Pedro Filipe Soares; Mariana Mortágua; Jorge Costa; Alexandra Vieira;</w:t>
      </w:r>
    </w:p>
    <w:p w:rsidR="00BB2031" w:rsidRPr="00BB2031" w:rsidRDefault="00BB2031" w:rsidP="00BB2031">
      <w:pPr>
        <w:spacing w:before="120" w:line="360" w:lineRule="auto"/>
        <w:jc w:val="center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BB2031">
        <w:rPr>
          <w:rFonts w:ascii="Cambria" w:eastAsiaTheme="minorHAnsi" w:hAnsi="Cambria" w:cstheme="minorBidi"/>
          <w:sz w:val="24"/>
          <w:szCs w:val="24"/>
          <w:lang w:eastAsia="en-US"/>
        </w:rPr>
        <w:t>Beatriz Dias; Fabíola Cardoso; Isabel Pires; Joana Mortágua; João Vasconcelos;</w:t>
      </w:r>
    </w:p>
    <w:p w:rsidR="00BB2031" w:rsidRPr="00BB2031" w:rsidRDefault="00BB2031" w:rsidP="00BB2031">
      <w:pPr>
        <w:spacing w:before="120" w:line="360" w:lineRule="auto"/>
        <w:jc w:val="center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BB2031">
        <w:rPr>
          <w:rFonts w:ascii="Cambria" w:eastAsiaTheme="minorHAnsi" w:hAnsi="Cambria" w:cstheme="minorBidi"/>
          <w:sz w:val="24"/>
          <w:szCs w:val="24"/>
          <w:lang w:eastAsia="en-US"/>
        </w:rPr>
        <w:t>José Manuel Pureza; José Maria Cardoso; José Soeiro; Luís Monteiro;</w:t>
      </w:r>
    </w:p>
    <w:p w:rsidR="00BB2031" w:rsidRPr="00BB2031" w:rsidRDefault="00BB2031" w:rsidP="00BB2031">
      <w:pPr>
        <w:spacing w:before="120" w:line="360" w:lineRule="auto"/>
        <w:jc w:val="center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BB2031">
        <w:rPr>
          <w:rFonts w:ascii="Cambria" w:eastAsiaTheme="minorHAnsi" w:hAnsi="Cambria" w:cstheme="minorBidi"/>
          <w:sz w:val="24"/>
          <w:szCs w:val="24"/>
          <w:lang w:eastAsia="en-US"/>
        </w:rPr>
        <w:t>Maria Manuel Rola; Moisés Ferreira; Ricardo Vicente; Sandra Cunha; Catarina Martins</w:t>
      </w:r>
    </w:p>
    <w:p w:rsidR="00BB2031" w:rsidRPr="00BB2031" w:rsidRDefault="00BB2031" w:rsidP="00BB2031">
      <w:pPr>
        <w:spacing w:before="240" w:line="360" w:lineRule="auto"/>
        <w:rPr>
          <w:rFonts w:ascii="Cambria" w:hAnsi="Cambria"/>
          <w:sz w:val="24"/>
          <w:szCs w:val="24"/>
        </w:rPr>
      </w:pPr>
    </w:p>
    <w:p w:rsidR="00707292" w:rsidRPr="00BB2031" w:rsidRDefault="00707292" w:rsidP="00BB2031">
      <w:pPr>
        <w:spacing w:before="240" w:line="360" w:lineRule="auto"/>
        <w:rPr>
          <w:rFonts w:ascii="Cambria" w:hAnsi="Cambria"/>
          <w:b/>
          <w:sz w:val="24"/>
          <w:szCs w:val="24"/>
        </w:rPr>
      </w:pPr>
    </w:p>
    <w:p w:rsidR="00707292" w:rsidRDefault="00707292" w:rsidP="00707292">
      <w:pPr>
        <w:spacing w:before="240"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707292" w:rsidRDefault="00707292" w:rsidP="00707292">
      <w:pPr>
        <w:spacing w:before="240"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707292" w:rsidRDefault="00707292" w:rsidP="00707292">
      <w:pPr>
        <w:spacing w:before="12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7292" w:rsidRDefault="00707292" w:rsidP="00707292">
      <w:pPr>
        <w:spacing w:before="12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07292" w:rsidSect="00707292"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134" w:left="1418" w:header="567" w:footer="567" w:gutter="0"/>
          <w:cols w:space="720"/>
          <w:titlePg/>
          <w:docGrid w:linePitch="272"/>
        </w:sectPr>
      </w:pPr>
    </w:p>
    <w:p w:rsidR="00707292" w:rsidRDefault="00707292" w:rsidP="00707292">
      <w:pPr>
        <w:spacing w:before="120" w:line="360" w:lineRule="auto"/>
        <w:rPr>
          <w:rFonts w:ascii="Cambria" w:hAnsi="Cambria"/>
          <w:sz w:val="24"/>
          <w:szCs w:val="24"/>
        </w:rPr>
      </w:pPr>
    </w:p>
    <w:p w:rsidR="00894F11" w:rsidRDefault="00E901A1"/>
    <w:sectPr w:rsidR="00894F11" w:rsidSect="00420209">
      <w:type w:val="continuous"/>
      <w:pgSz w:w="11906" w:h="16838" w:code="9"/>
      <w:pgMar w:top="1418" w:right="1418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BE" w:rsidRDefault="008F52BE">
      <w:r>
        <w:separator/>
      </w:r>
    </w:p>
  </w:endnote>
  <w:endnote w:type="continuationSeparator" w:id="0">
    <w:p w:rsidR="008F52BE" w:rsidRDefault="008F5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DE" w:rsidRDefault="00A66CE2" w:rsidP="007246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00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3BDE" w:rsidRDefault="00E901A1" w:rsidP="00CC668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80" w:rsidRDefault="00660003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:rsidR="00980180" w:rsidRPr="00980180" w:rsidRDefault="00660003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http://www.beparlamento.net/</w:t>
    </w:r>
    <w:r w:rsidR="00A66CE2" w:rsidRPr="00A66CE2">
      <w:rPr>
        <w:rFonts w:ascii="Cambria" w:hAnsi="Cambria" w:cs="Calibri"/>
        <w:noProof/>
        <w:color w:val="D3454F"/>
        <w:sz w:val="28"/>
        <w:szCs w:val="28"/>
        <w:lang w:val="en-US"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24" o:spid="_x0000_s2050" type="#_x0000_t176" style="position:absolute;left:0;text-align:left;margin-left:539.65pt;margin-top:795.3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" filled="f" fillcolor="#4f81bd" stroked="f" strokecolor="#737373">
          <v:textbox>
            <w:txbxContent>
              <w:p w:rsidR="00980180" w:rsidRPr="00980180" w:rsidRDefault="00A66CE2" w:rsidP="00980180">
                <w:pPr>
                  <w:pStyle w:val="Rodap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18"/>
                    <w:szCs w:val="18"/>
                  </w:rPr>
                </w:pPr>
                <w:r w:rsidRPr="00980180">
                  <w:rPr>
                    <w:sz w:val="18"/>
                    <w:szCs w:val="18"/>
                  </w:rPr>
                  <w:fldChar w:fldCharType="begin"/>
                </w:r>
                <w:r w:rsidR="00660003" w:rsidRPr="00980180">
                  <w:rPr>
                    <w:sz w:val="18"/>
                    <w:szCs w:val="18"/>
                  </w:rPr>
                  <w:instrText xml:space="preserve"> PAGE    \* MERGEFORMAT </w:instrText>
                </w:r>
                <w:r w:rsidRPr="00980180">
                  <w:rPr>
                    <w:sz w:val="18"/>
                    <w:szCs w:val="18"/>
                  </w:rPr>
                  <w:fldChar w:fldCharType="separate"/>
                </w:r>
                <w:r w:rsidR="00E901A1">
                  <w:rPr>
                    <w:noProof/>
                    <w:sz w:val="18"/>
                    <w:szCs w:val="18"/>
                  </w:rPr>
                  <w:t>2</w:t>
                </w:r>
                <w:r w:rsidRPr="00980180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80" w:rsidRDefault="00660003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:rsidR="00191648" w:rsidRPr="00980180" w:rsidRDefault="00660003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http://www.beparlamento.net/</w:t>
    </w:r>
    <w:r w:rsidR="00A66CE2" w:rsidRPr="00A66CE2">
      <w:rPr>
        <w:rFonts w:ascii="Cambria" w:hAnsi="Cambria" w:cs="Calibri"/>
        <w:noProof/>
        <w:color w:val="D3454F"/>
        <w:sz w:val="28"/>
        <w:szCs w:val="28"/>
        <w:lang w:val="en-US"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25" o:spid="_x0000_s2049" type="#_x0000_t176" style="position:absolute;left:0;text-align:left;margin-left:539.65pt;margin-top:795.3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" filled="f" fillcolor="#4f81bd" stroked="f" strokecolor="#737373">
          <v:textbox>
            <w:txbxContent>
              <w:p w:rsidR="00980180" w:rsidRPr="00980180" w:rsidRDefault="00A66CE2" w:rsidP="00980180">
                <w:pPr>
                  <w:pStyle w:val="Rodap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980180">
                  <w:rPr>
                    <w:rFonts w:ascii="Calibri" w:hAnsi="Calibri" w:cs="Calibri"/>
                    <w:sz w:val="18"/>
                    <w:szCs w:val="18"/>
                  </w:rPr>
                  <w:fldChar w:fldCharType="begin"/>
                </w:r>
                <w:r w:rsidR="00660003" w:rsidRPr="00980180">
                  <w:rPr>
                    <w:rFonts w:ascii="Calibri" w:hAnsi="Calibri" w:cs="Calibri"/>
                    <w:sz w:val="18"/>
                    <w:szCs w:val="18"/>
                  </w:rPr>
                  <w:instrText xml:space="preserve"> PAGE    \* MERGEFORMAT </w:instrText>
                </w:r>
                <w:r w:rsidRPr="00980180">
                  <w:rPr>
                    <w:rFonts w:ascii="Calibri" w:hAnsi="Calibri" w:cs="Calibri"/>
                    <w:sz w:val="18"/>
                    <w:szCs w:val="18"/>
                  </w:rPr>
                  <w:fldChar w:fldCharType="separate"/>
                </w:r>
                <w:r w:rsidR="00E901A1">
                  <w:rPr>
                    <w:rFonts w:ascii="Calibri" w:hAnsi="Calibri" w:cs="Calibri"/>
                    <w:noProof/>
                    <w:sz w:val="18"/>
                    <w:szCs w:val="18"/>
                  </w:rPr>
                  <w:t>1</w:t>
                </w:r>
                <w:r w:rsidRPr="00980180">
                  <w:rPr>
                    <w:rFonts w:ascii="Calibri" w:hAnsi="Calibri" w:cs="Calibr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BE" w:rsidRDefault="008F52BE">
      <w:r>
        <w:separator/>
      </w:r>
    </w:p>
  </w:footnote>
  <w:footnote w:type="continuationSeparator" w:id="0">
    <w:p w:rsidR="008F52BE" w:rsidRDefault="008F5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7292"/>
    <w:rsid w:val="001B15BF"/>
    <w:rsid w:val="0041178D"/>
    <w:rsid w:val="00660003"/>
    <w:rsid w:val="00707292"/>
    <w:rsid w:val="007D68F9"/>
    <w:rsid w:val="008F52BE"/>
    <w:rsid w:val="00A66CE2"/>
    <w:rsid w:val="00B205FD"/>
    <w:rsid w:val="00BB2031"/>
    <w:rsid w:val="00E80D9B"/>
    <w:rsid w:val="00E9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0729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0729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rsid w:val="00707292"/>
  </w:style>
  <w:style w:type="character" w:styleId="Hiperligao">
    <w:name w:val="Hyperlink"/>
    <w:basedOn w:val="Tipodeletrapredefinidodopargrafo"/>
    <w:uiPriority w:val="99"/>
    <w:semiHidden/>
    <w:unhideWhenUsed/>
    <w:rsid w:val="004117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2019-12-10T00:00:00+00:00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114042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BA87A14E-7B1B-49DB-B72E-F59AE7D15AC1}"/>
</file>

<file path=customXml/itemProps2.xml><?xml version="1.0" encoding="utf-8"?>
<ds:datastoreItem xmlns:ds="http://schemas.openxmlformats.org/officeDocument/2006/customXml" ds:itemID="{8C70C83C-AC76-4DB9-ADCE-80BC93E39948}"/>
</file>

<file path=customXml/itemProps3.xml><?xml version="1.0" encoding="utf-8"?>
<ds:datastoreItem xmlns:ds="http://schemas.openxmlformats.org/officeDocument/2006/customXml" ds:itemID="{6916E480-3651-48D0-8829-04AF58B9F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(BE) - Pelas mortes de Firmino Guajajara e de Raimundo Guajajara</dc:title>
  <dc:creator>Nelson Peralta</dc:creator>
  <cp:lastModifiedBy>bzoccoli</cp:lastModifiedBy>
  <cp:revision>2</cp:revision>
  <cp:lastPrinted>2019-12-10T16:53:00Z</cp:lastPrinted>
  <dcterms:created xsi:type="dcterms:W3CDTF">2019-12-10T17:00:00Z</dcterms:created>
  <dcterms:modified xsi:type="dcterms:W3CDTF">2019-12-10T17:00:00Z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13700</vt:r8>
  </property>
</Properties>
</file>