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C846" w14:textId="1DBF220F" w:rsidR="005E403A" w:rsidRDefault="005E403A" w:rsidP="005E403A">
      <w:pPr>
        <w:pBdr>
          <w:bottom w:val="single" w:sz="4" w:space="1" w:color="auto"/>
        </w:pBdr>
        <w:rPr>
          <w:rFonts w:ascii="Arial" w:hAnsi="Arial" w:cs="Arial"/>
          <w:b/>
          <w:sz w:val="24"/>
          <w:szCs w:val="24"/>
          <w:lang w:val="en-GB"/>
        </w:rPr>
      </w:pPr>
      <w:r>
        <w:rPr>
          <w:rFonts w:ascii="Arial" w:hAnsi="Arial" w:cs="Arial"/>
          <w:b/>
          <w:noProof/>
          <w:sz w:val="24"/>
          <w:szCs w:val="24"/>
          <w:lang w:val="de-DE" w:eastAsia="de-DE"/>
        </w:rPr>
        <w:drawing>
          <wp:inline distT="0" distB="0" distL="0" distR="0" wp14:anchorId="082FF446" wp14:editId="7F5C94A3">
            <wp:extent cx="1259205" cy="809625"/>
            <wp:effectExtent l="0" t="0" r="0" b="9525"/>
            <wp:docPr id="3" name="Picture 3" descr="TG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205" cy="809625"/>
                    </a:xfrm>
                    <a:prstGeom prst="rect">
                      <a:avLst/>
                    </a:prstGeom>
                    <a:noFill/>
                    <a:ln>
                      <a:noFill/>
                    </a:ln>
                  </pic:spPr>
                </pic:pic>
              </a:graphicData>
            </a:graphic>
          </wp:inline>
        </w:drawing>
      </w:r>
      <w:r>
        <w:rPr>
          <w:rFonts w:ascii="Arial" w:hAnsi="Arial" w:cs="Arial"/>
          <w:b/>
          <w:sz w:val="24"/>
          <w:szCs w:val="24"/>
          <w:lang w:val="en-GB"/>
        </w:rPr>
        <w:t xml:space="preserve"> </w:t>
      </w:r>
      <w:r>
        <w:rPr>
          <w:rFonts w:ascii="Arial" w:hAnsi="Arial" w:cs="Arial"/>
          <w:b/>
          <w:noProof/>
          <w:sz w:val="24"/>
          <w:szCs w:val="24"/>
          <w:lang w:val="de-DE" w:eastAsia="de-DE"/>
        </w:rPr>
        <w:drawing>
          <wp:inline distT="0" distB="0" distL="0" distR="0" wp14:anchorId="32BAE89D" wp14:editId="65EA9B52">
            <wp:extent cx="700405" cy="668655"/>
            <wp:effectExtent l="0" t="0" r="4445" b="0"/>
            <wp:docPr id="2" name="Picture 2" descr="oii_EURO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i_EUROP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 cy="668655"/>
                    </a:xfrm>
                    <a:prstGeom prst="rect">
                      <a:avLst/>
                    </a:prstGeom>
                    <a:noFill/>
                    <a:ln>
                      <a:noFill/>
                    </a:ln>
                  </pic:spPr>
                </pic:pic>
              </a:graphicData>
            </a:graphic>
          </wp:inline>
        </w:drawing>
      </w:r>
      <w:r>
        <w:rPr>
          <w:noProof/>
          <w:lang w:eastAsia="fr-BE"/>
        </w:rPr>
        <w:t xml:space="preserve"> </w:t>
      </w:r>
      <w:r>
        <w:rPr>
          <w:noProof/>
          <w:lang w:val="de-DE" w:eastAsia="de-DE"/>
        </w:rPr>
        <w:drawing>
          <wp:inline distT="0" distB="0" distL="0" distR="0" wp14:anchorId="477A97F1" wp14:editId="5BE7BB86">
            <wp:extent cx="1233170" cy="715645"/>
            <wp:effectExtent l="0" t="0" r="5080" b="8255"/>
            <wp:docPr id="1" name="Picture 1" descr="IE logo with motto PNG format c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 logo with motto PNG format cm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715645"/>
                    </a:xfrm>
                    <a:prstGeom prst="rect">
                      <a:avLst/>
                    </a:prstGeom>
                    <a:noFill/>
                    <a:ln>
                      <a:noFill/>
                    </a:ln>
                  </pic:spPr>
                </pic:pic>
              </a:graphicData>
            </a:graphic>
          </wp:inline>
        </w:drawing>
      </w:r>
    </w:p>
    <w:p w14:paraId="25ED0F80" w14:textId="77777777" w:rsidR="005E403A" w:rsidRDefault="005E403A" w:rsidP="003C226E">
      <w:pPr>
        <w:pBdr>
          <w:bottom w:val="single" w:sz="4" w:space="1" w:color="auto"/>
        </w:pBdr>
        <w:jc w:val="center"/>
        <w:rPr>
          <w:rFonts w:ascii="Arial" w:hAnsi="Arial" w:cs="Arial"/>
          <w:b/>
          <w:sz w:val="24"/>
          <w:szCs w:val="24"/>
          <w:lang w:val="en-US"/>
        </w:rPr>
      </w:pPr>
    </w:p>
    <w:p w14:paraId="3DD80069" w14:textId="77777777" w:rsidR="003C226E" w:rsidRPr="00E50375" w:rsidRDefault="003C226E" w:rsidP="003C226E">
      <w:pPr>
        <w:pBdr>
          <w:bottom w:val="single" w:sz="4" w:space="1" w:color="auto"/>
        </w:pBdr>
        <w:jc w:val="center"/>
        <w:rPr>
          <w:rFonts w:ascii="Arial" w:hAnsi="Arial" w:cs="Arial"/>
          <w:b/>
          <w:sz w:val="24"/>
          <w:szCs w:val="24"/>
          <w:lang w:val="en-US"/>
        </w:rPr>
      </w:pPr>
      <w:r w:rsidRPr="00E50375">
        <w:rPr>
          <w:rFonts w:ascii="Arial" w:hAnsi="Arial" w:cs="Arial"/>
          <w:b/>
          <w:sz w:val="24"/>
          <w:szCs w:val="24"/>
          <w:lang w:val="en-US"/>
        </w:rPr>
        <w:t>ILGA-Europe, Transgender Europe and OII-Europe’s comments to the Law Proposal Nr. 75/XIII 2</w:t>
      </w:r>
      <w:r w:rsidRPr="00E50375">
        <w:rPr>
          <w:rFonts w:ascii="Arial" w:hAnsi="Arial" w:cs="Arial"/>
          <w:b/>
          <w:sz w:val="24"/>
          <w:szCs w:val="24"/>
          <w:vertAlign w:val="superscript"/>
          <w:lang w:val="en-US"/>
        </w:rPr>
        <w:t>nd</w:t>
      </w:r>
      <w:r w:rsidRPr="00E50375">
        <w:rPr>
          <w:rFonts w:ascii="Arial" w:hAnsi="Arial" w:cs="Arial"/>
          <w:b/>
          <w:sz w:val="24"/>
          <w:szCs w:val="24"/>
          <w:lang w:val="en-US"/>
        </w:rPr>
        <w:t xml:space="preserve"> which establishe</w:t>
      </w:r>
      <w:r w:rsidR="00951C6D" w:rsidRPr="00E50375">
        <w:rPr>
          <w:rFonts w:ascii="Arial" w:hAnsi="Arial" w:cs="Arial"/>
          <w:b/>
          <w:sz w:val="24"/>
          <w:szCs w:val="24"/>
          <w:lang w:val="en-US"/>
        </w:rPr>
        <w:t>s</w:t>
      </w:r>
      <w:r w:rsidRPr="00E50375">
        <w:rPr>
          <w:rFonts w:ascii="Arial" w:hAnsi="Arial" w:cs="Arial"/>
          <w:b/>
          <w:sz w:val="24"/>
          <w:szCs w:val="24"/>
          <w:lang w:val="en-US"/>
        </w:rPr>
        <w:t xml:space="preserve"> the right to self-determination of gender identity and gender expression and the right to the protection of sex characteristics of each person</w:t>
      </w:r>
    </w:p>
    <w:p w14:paraId="22949C0F" w14:textId="3DEB7889" w:rsidR="003C226E" w:rsidRDefault="00003D03" w:rsidP="00003D03">
      <w:pPr>
        <w:jc w:val="right"/>
        <w:rPr>
          <w:rFonts w:ascii="Arial" w:hAnsi="Arial" w:cs="Arial"/>
          <w:sz w:val="24"/>
          <w:szCs w:val="24"/>
          <w:lang w:val="en-US"/>
        </w:rPr>
      </w:pPr>
      <w:r>
        <w:rPr>
          <w:rFonts w:ascii="Arial" w:hAnsi="Arial" w:cs="Arial"/>
          <w:sz w:val="24"/>
          <w:szCs w:val="24"/>
          <w:lang w:val="en-US"/>
        </w:rPr>
        <w:t>2018-01-31</w:t>
      </w:r>
      <w:bookmarkStart w:id="0" w:name="_GoBack"/>
      <w:bookmarkEnd w:id="0"/>
    </w:p>
    <w:p w14:paraId="3A33A2BF" w14:textId="77777777" w:rsidR="00EE0AFF" w:rsidRPr="00AF6943" w:rsidRDefault="003C226E" w:rsidP="008717BB">
      <w:pPr>
        <w:pStyle w:val="Listenabsatz"/>
        <w:numPr>
          <w:ilvl w:val="0"/>
          <w:numId w:val="2"/>
        </w:numPr>
        <w:jc w:val="both"/>
        <w:rPr>
          <w:rFonts w:ascii="Arial" w:hAnsi="Arial" w:cs="Arial"/>
          <w:b/>
          <w:sz w:val="24"/>
          <w:szCs w:val="24"/>
          <w:lang w:val="en-US"/>
        </w:rPr>
      </w:pPr>
      <w:r w:rsidRPr="00AF6943">
        <w:rPr>
          <w:rFonts w:ascii="Arial" w:hAnsi="Arial" w:cs="Arial"/>
          <w:b/>
          <w:sz w:val="24"/>
          <w:szCs w:val="24"/>
          <w:lang w:val="en-US"/>
        </w:rPr>
        <w:t>Comments on the explanatory statement</w:t>
      </w:r>
    </w:p>
    <w:p w14:paraId="69F7552C" w14:textId="77777777" w:rsidR="00CA4E3D" w:rsidRDefault="00CA4E3D" w:rsidP="008717BB">
      <w:pPr>
        <w:pStyle w:val="Listenabsatz"/>
        <w:ind w:left="408"/>
        <w:jc w:val="both"/>
        <w:rPr>
          <w:rFonts w:ascii="Arial" w:hAnsi="Arial" w:cs="Arial"/>
          <w:sz w:val="24"/>
          <w:szCs w:val="24"/>
          <w:lang w:val="en-US"/>
        </w:rPr>
      </w:pPr>
    </w:p>
    <w:p w14:paraId="508B6661" w14:textId="77777777" w:rsidR="003C226E" w:rsidRPr="00AF6943" w:rsidRDefault="003C226E" w:rsidP="008717BB">
      <w:pPr>
        <w:pStyle w:val="Listenabsatz"/>
        <w:numPr>
          <w:ilvl w:val="1"/>
          <w:numId w:val="2"/>
        </w:numPr>
        <w:jc w:val="both"/>
        <w:rPr>
          <w:rFonts w:ascii="Arial" w:hAnsi="Arial" w:cs="Arial"/>
          <w:i/>
          <w:sz w:val="24"/>
          <w:szCs w:val="24"/>
          <w:lang w:val="en-US"/>
        </w:rPr>
      </w:pPr>
      <w:r w:rsidRPr="00AF6943">
        <w:rPr>
          <w:rFonts w:ascii="Arial" w:hAnsi="Arial" w:cs="Arial"/>
          <w:i/>
          <w:sz w:val="24"/>
          <w:szCs w:val="24"/>
          <w:lang w:val="en-US"/>
        </w:rPr>
        <w:t>On the terminology used:</w:t>
      </w:r>
    </w:p>
    <w:p w14:paraId="0EE37893" w14:textId="77777777" w:rsidR="003C226E" w:rsidRDefault="003C226E" w:rsidP="008717BB">
      <w:pPr>
        <w:jc w:val="both"/>
        <w:rPr>
          <w:rFonts w:ascii="Arial" w:hAnsi="Arial" w:cs="Arial"/>
          <w:sz w:val="24"/>
          <w:szCs w:val="24"/>
          <w:lang w:val="en-US"/>
        </w:rPr>
      </w:pPr>
      <w:r>
        <w:rPr>
          <w:rFonts w:ascii="Arial" w:hAnsi="Arial" w:cs="Arial"/>
          <w:sz w:val="24"/>
          <w:szCs w:val="24"/>
          <w:lang w:val="en-US"/>
        </w:rPr>
        <w:t xml:space="preserve">The terminology used in the whole document is sometimes incorrect and may confuse </w:t>
      </w:r>
      <w:proofErr w:type="gramStart"/>
      <w:r>
        <w:rPr>
          <w:rFonts w:ascii="Arial" w:hAnsi="Arial" w:cs="Arial"/>
          <w:sz w:val="24"/>
          <w:szCs w:val="24"/>
          <w:lang w:val="en-US"/>
        </w:rPr>
        <w:t>readers,</w:t>
      </w:r>
      <w:proofErr w:type="gramEnd"/>
      <w:r>
        <w:rPr>
          <w:rFonts w:ascii="Arial" w:hAnsi="Arial" w:cs="Arial"/>
          <w:sz w:val="24"/>
          <w:szCs w:val="24"/>
          <w:lang w:val="en-US"/>
        </w:rPr>
        <w:t xml:space="preserve"> in particular, those who are not familiar with issues faced by trans and intersex persons.</w:t>
      </w:r>
      <w:r w:rsidR="00CA4E3D">
        <w:rPr>
          <w:rFonts w:ascii="Arial" w:hAnsi="Arial" w:cs="Arial"/>
          <w:sz w:val="24"/>
          <w:szCs w:val="24"/>
          <w:lang w:val="en-US"/>
        </w:rPr>
        <w:t xml:space="preserve"> </w:t>
      </w:r>
      <w:r>
        <w:rPr>
          <w:rFonts w:ascii="Arial" w:hAnsi="Arial" w:cs="Arial"/>
          <w:sz w:val="24"/>
          <w:szCs w:val="24"/>
          <w:lang w:val="en-US"/>
        </w:rPr>
        <w:t>We therefore recommend being extremely careful not to confuse terms such as ‘trans’ and ‘intersex’ or ‘gender identity’ and ‘sex characteristics’</w:t>
      </w:r>
      <w:r w:rsidR="00CA4E3D">
        <w:rPr>
          <w:rFonts w:ascii="Arial" w:hAnsi="Arial" w:cs="Arial"/>
          <w:sz w:val="24"/>
          <w:szCs w:val="24"/>
          <w:lang w:val="en-US"/>
        </w:rPr>
        <w:t xml:space="preserve"> or ‘sex’ and ‘gender’</w:t>
      </w:r>
      <w:r>
        <w:rPr>
          <w:rFonts w:ascii="Arial" w:hAnsi="Arial" w:cs="Arial"/>
          <w:sz w:val="24"/>
          <w:szCs w:val="24"/>
          <w:lang w:val="en-US"/>
        </w:rPr>
        <w:t>.</w:t>
      </w:r>
      <w:r w:rsidR="00CA4E3D">
        <w:rPr>
          <w:rFonts w:ascii="Arial" w:hAnsi="Arial" w:cs="Arial"/>
          <w:sz w:val="24"/>
          <w:szCs w:val="24"/>
          <w:lang w:val="en-US"/>
        </w:rPr>
        <w:t xml:space="preserve"> </w:t>
      </w:r>
    </w:p>
    <w:p w14:paraId="47955101" w14:textId="77777777" w:rsidR="003C226E" w:rsidRDefault="003C226E" w:rsidP="008717BB">
      <w:pPr>
        <w:jc w:val="both"/>
        <w:rPr>
          <w:rFonts w:ascii="Arial" w:hAnsi="Arial" w:cs="Arial"/>
          <w:sz w:val="24"/>
          <w:szCs w:val="24"/>
          <w:lang w:val="en-US"/>
        </w:rPr>
      </w:pPr>
      <w:r>
        <w:rPr>
          <w:rFonts w:ascii="Arial" w:hAnsi="Arial" w:cs="Arial"/>
          <w:sz w:val="24"/>
          <w:szCs w:val="24"/>
          <w:lang w:val="en-US"/>
        </w:rPr>
        <w:t>Please find below correct definitions to use for those terms:</w:t>
      </w:r>
    </w:p>
    <w:p w14:paraId="465176A5" w14:textId="77777777" w:rsidR="00CA4E3D" w:rsidRPr="00CA4E3D" w:rsidRDefault="00CA4E3D" w:rsidP="008717BB">
      <w:pPr>
        <w:jc w:val="both"/>
        <w:rPr>
          <w:rFonts w:ascii="Arial" w:hAnsi="Arial" w:cs="Arial"/>
          <w:sz w:val="24"/>
          <w:szCs w:val="24"/>
          <w:lang w:val="en-US"/>
        </w:rPr>
      </w:pPr>
      <w:r w:rsidRPr="00CA4E3D">
        <w:rPr>
          <w:rFonts w:ascii="Arial" w:hAnsi="Arial" w:cs="Arial"/>
          <w:sz w:val="24"/>
          <w:szCs w:val="24"/>
          <w:lang w:val="en-US"/>
        </w:rPr>
        <w:t>Gender expression</w:t>
      </w:r>
      <w:r>
        <w:rPr>
          <w:rFonts w:ascii="Arial" w:hAnsi="Arial" w:cs="Arial"/>
          <w:sz w:val="24"/>
          <w:szCs w:val="24"/>
          <w:lang w:val="en-US"/>
        </w:rPr>
        <w:t xml:space="preserve">: </w:t>
      </w:r>
      <w:r w:rsidRPr="00CA4E3D">
        <w:rPr>
          <w:rFonts w:ascii="Arial" w:hAnsi="Arial" w:cs="Arial"/>
          <w:sz w:val="24"/>
          <w:szCs w:val="24"/>
          <w:lang w:val="en-US"/>
        </w:rPr>
        <w:t>Refers to people's manifestation of their gender identity to others, by for instance, dress, speech and mannerisms. People’s gender expression may or may not match their gender identity/identities, or the gender they were assigned at birth.</w:t>
      </w:r>
    </w:p>
    <w:p w14:paraId="3E416545" w14:textId="77777777" w:rsidR="00CA4E3D" w:rsidRDefault="00CA4E3D" w:rsidP="008717BB">
      <w:pPr>
        <w:jc w:val="both"/>
        <w:rPr>
          <w:rFonts w:ascii="Arial" w:hAnsi="Arial" w:cs="Arial"/>
          <w:sz w:val="24"/>
          <w:szCs w:val="24"/>
          <w:lang w:val="en-US"/>
        </w:rPr>
      </w:pPr>
      <w:r>
        <w:rPr>
          <w:rFonts w:ascii="Arial" w:hAnsi="Arial" w:cs="Arial"/>
          <w:sz w:val="24"/>
          <w:szCs w:val="24"/>
          <w:lang w:val="en-US"/>
        </w:rPr>
        <w:t xml:space="preserve">Gender identity: </w:t>
      </w:r>
      <w:r w:rsidRPr="00CA4E3D">
        <w:rPr>
          <w:rFonts w:ascii="Arial" w:hAnsi="Arial" w:cs="Arial"/>
          <w:sz w:val="24"/>
          <w:szCs w:val="24"/>
          <w:lang w:val="en-US"/>
        </w:rPr>
        <w:t>Refers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Pr>
          <w:rFonts w:ascii="Arial" w:hAnsi="Arial" w:cs="Arial"/>
          <w:sz w:val="24"/>
          <w:szCs w:val="24"/>
          <w:lang w:val="en-US"/>
        </w:rPr>
        <w:t xml:space="preserve"> </w:t>
      </w:r>
      <w:r w:rsidRPr="00CA4E3D">
        <w:rPr>
          <w:rFonts w:ascii="Arial" w:hAnsi="Arial" w:cs="Arial"/>
          <w:sz w:val="24"/>
          <w:szCs w:val="24"/>
          <w:lang w:val="en-US"/>
        </w:rPr>
        <w:t>Some people's gender identity falls outside the gender binary, and related norms</w:t>
      </w:r>
    </w:p>
    <w:p w14:paraId="6DD6CCEC" w14:textId="77777777" w:rsidR="00CA4E3D" w:rsidRDefault="00CA4E3D" w:rsidP="008717BB">
      <w:pPr>
        <w:jc w:val="both"/>
        <w:rPr>
          <w:rFonts w:ascii="Arial" w:hAnsi="Arial" w:cs="Arial"/>
          <w:sz w:val="24"/>
          <w:szCs w:val="24"/>
          <w:lang w:val="en-US"/>
        </w:rPr>
      </w:pPr>
      <w:r>
        <w:rPr>
          <w:rFonts w:ascii="Arial" w:hAnsi="Arial" w:cs="Arial"/>
          <w:sz w:val="24"/>
          <w:szCs w:val="24"/>
          <w:lang w:val="en-US"/>
        </w:rPr>
        <w:t xml:space="preserve">Gender reassignment: </w:t>
      </w:r>
      <w:r w:rsidRPr="00CA4E3D">
        <w:rPr>
          <w:rFonts w:ascii="Arial" w:hAnsi="Arial" w:cs="Arial"/>
          <w:sz w:val="24"/>
          <w:szCs w:val="24"/>
          <w:lang w:val="en-US"/>
        </w:rPr>
        <w:t>Refers to the process through which people re-define the gender in which they live in order to better express their gender identity. This process may, but does not have to, involve medical assistance including hormone therapies and any surgical procedures that trans people undergo to align their body with their gender.</w:t>
      </w:r>
    </w:p>
    <w:p w14:paraId="6480772A" w14:textId="77777777" w:rsidR="00CA4E3D" w:rsidRDefault="00CA4E3D" w:rsidP="008717BB">
      <w:pPr>
        <w:jc w:val="both"/>
        <w:rPr>
          <w:rFonts w:ascii="Arial" w:hAnsi="Arial" w:cs="Arial"/>
          <w:sz w:val="24"/>
          <w:szCs w:val="24"/>
          <w:lang w:val="en-US"/>
        </w:rPr>
      </w:pPr>
      <w:r>
        <w:rPr>
          <w:rFonts w:ascii="Arial" w:hAnsi="Arial" w:cs="Arial"/>
          <w:sz w:val="24"/>
          <w:szCs w:val="24"/>
          <w:lang w:val="en-US"/>
        </w:rPr>
        <w:t xml:space="preserve">Legal gender recognition: </w:t>
      </w:r>
      <w:r w:rsidRPr="00CA4E3D">
        <w:rPr>
          <w:rFonts w:ascii="Arial" w:hAnsi="Arial" w:cs="Arial"/>
          <w:sz w:val="24"/>
          <w:szCs w:val="24"/>
          <w:lang w:val="en-US"/>
        </w:rPr>
        <w:t xml:space="preserve">A process whereby a trans person’s gender is </w:t>
      </w:r>
      <w:proofErr w:type="spellStart"/>
      <w:r w:rsidRPr="00CA4E3D">
        <w:rPr>
          <w:rFonts w:ascii="Arial" w:hAnsi="Arial" w:cs="Arial"/>
          <w:sz w:val="24"/>
          <w:szCs w:val="24"/>
          <w:lang w:val="en-US"/>
        </w:rPr>
        <w:t>recognised</w:t>
      </w:r>
      <w:proofErr w:type="spellEnd"/>
      <w:r w:rsidRPr="00CA4E3D">
        <w:rPr>
          <w:rFonts w:ascii="Arial" w:hAnsi="Arial" w:cs="Arial"/>
          <w:sz w:val="24"/>
          <w:szCs w:val="24"/>
          <w:lang w:val="en-US"/>
        </w:rPr>
        <w:t xml:space="preserve"> in law, or the achievement of the process.</w:t>
      </w:r>
    </w:p>
    <w:p w14:paraId="2F6862CC" w14:textId="77777777" w:rsidR="00951C6D" w:rsidRDefault="00CA4E3D" w:rsidP="008717BB">
      <w:pPr>
        <w:jc w:val="both"/>
        <w:rPr>
          <w:rFonts w:ascii="Arial" w:hAnsi="Arial" w:cs="Arial"/>
          <w:sz w:val="24"/>
          <w:szCs w:val="24"/>
          <w:lang w:val="en-US"/>
        </w:rPr>
      </w:pPr>
      <w:r>
        <w:rPr>
          <w:rFonts w:ascii="Arial" w:hAnsi="Arial" w:cs="Arial"/>
          <w:sz w:val="24"/>
          <w:szCs w:val="24"/>
          <w:lang w:val="en-US"/>
        </w:rPr>
        <w:lastRenderedPageBreak/>
        <w:t xml:space="preserve">Intersex: </w:t>
      </w:r>
      <w:r w:rsidRPr="00CA4E3D">
        <w:rPr>
          <w:rFonts w:ascii="Arial" w:hAnsi="Arial" w:cs="Arial"/>
          <w:sz w:val="24"/>
          <w:szCs w:val="24"/>
          <w:lang w:val="en-US"/>
        </w:rPr>
        <w:t>A term that relates to a range of physical traits or variations that lie between stereotypical ideals of male and female. Intersex people are born with physical, hormonal or genetic features that are neither wholly female nor wholly male; or a combination of female and male; or neither female nor male. Many forms of intersex exist; it is a spectrum or umbrella term, rather than a single category.</w:t>
      </w:r>
      <w:r>
        <w:rPr>
          <w:rFonts w:ascii="Arial" w:hAnsi="Arial" w:cs="Arial"/>
          <w:sz w:val="24"/>
          <w:szCs w:val="24"/>
          <w:lang w:val="en-US"/>
        </w:rPr>
        <w:t xml:space="preserve"> </w:t>
      </w:r>
      <w:r w:rsidRPr="00CA4E3D">
        <w:rPr>
          <w:rFonts w:ascii="Arial" w:hAnsi="Arial" w:cs="Arial"/>
          <w:sz w:val="24"/>
          <w:szCs w:val="24"/>
          <w:lang w:val="en-US"/>
        </w:rPr>
        <w:t>That is why intersex activists frequently prefer to use the term sex characteristics (for example, when talking about grounds that can be protected against discrimination). There is not one static state called 'intersex status', so using the term sex characteristics reflects the fact that being intersex is a bodily experience and only one part of a person's identity.</w:t>
      </w:r>
    </w:p>
    <w:p w14:paraId="52A2EC19" w14:textId="77777777" w:rsidR="00282CF2" w:rsidRDefault="00282CF2" w:rsidP="008717BB">
      <w:pPr>
        <w:jc w:val="both"/>
        <w:rPr>
          <w:rFonts w:ascii="Arial" w:hAnsi="Arial" w:cs="Arial"/>
          <w:sz w:val="24"/>
          <w:szCs w:val="24"/>
          <w:lang w:val="en-US"/>
        </w:rPr>
      </w:pPr>
      <w:r>
        <w:rPr>
          <w:rFonts w:ascii="Arial" w:hAnsi="Arial" w:cs="Arial"/>
          <w:sz w:val="24"/>
          <w:szCs w:val="24"/>
          <w:lang w:val="en-US"/>
        </w:rPr>
        <w:t xml:space="preserve">“Intersexual” </w:t>
      </w:r>
      <w:r w:rsidR="00380982">
        <w:rPr>
          <w:rFonts w:ascii="Arial" w:hAnsi="Arial" w:cs="Arial"/>
          <w:sz w:val="24"/>
          <w:szCs w:val="24"/>
          <w:lang w:val="en-US"/>
        </w:rPr>
        <w:t xml:space="preserve">(referred to in article 2.g) </w:t>
      </w:r>
      <w:r>
        <w:rPr>
          <w:rFonts w:ascii="Arial" w:hAnsi="Arial" w:cs="Arial"/>
          <w:sz w:val="24"/>
          <w:szCs w:val="24"/>
          <w:lang w:val="en-US"/>
        </w:rPr>
        <w:t xml:space="preserve">is not the correct term and should not be used as the issue here is about sex characteristics and not about sexuality or sexual orientation. </w:t>
      </w:r>
    </w:p>
    <w:p w14:paraId="4F485991" w14:textId="77777777" w:rsidR="003C226E" w:rsidRPr="00AF6943" w:rsidRDefault="00951C6D" w:rsidP="008717BB">
      <w:pPr>
        <w:pStyle w:val="Listenabsatz"/>
        <w:numPr>
          <w:ilvl w:val="1"/>
          <w:numId w:val="2"/>
        </w:numPr>
        <w:jc w:val="both"/>
        <w:rPr>
          <w:rFonts w:ascii="Arial" w:hAnsi="Arial" w:cs="Arial"/>
          <w:i/>
          <w:sz w:val="24"/>
          <w:szCs w:val="24"/>
          <w:lang w:val="en-US"/>
        </w:rPr>
      </w:pPr>
      <w:r w:rsidRPr="00AF6943">
        <w:rPr>
          <w:rFonts w:ascii="Arial" w:hAnsi="Arial" w:cs="Arial"/>
          <w:i/>
          <w:sz w:val="24"/>
          <w:szCs w:val="24"/>
          <w:lang w:val="en-US"/>
        </w:rPr>
        <w:t>On the b</w:t>
      </w:r>
      <w:r w:rsidR="00EA0006" w:rsidRPr="00AF6943">
        <w:rPr>
          <w:rFonts w:ascii="Arial" w:hAnsi="Arial" w:cs="Arial"/>
          <w:i/>
          <w:sz w:val="24"/>
          <w:szCs w:val="24"/>
          <w:lang w:val="en-US"/>
        </w:rPr>
        <w:t>inary model</w:t>
      </w:r>
      <w:r w:rsidRPr="00AF6943">
        <w:rPr>
          <w:rFonts w:ascii="Arial" w:hAnsi="Arial" w:cs="Arial"/>
          <w:i/>
          <w:sz w:val="24"/>
          <w:szCs w:val="24"/>
          <w:lang w:val="en-US"/>
        </w:rPr>
        <w:t>:</w:t>
      </w:r>
    </w:p>
    <w:p w14:paraId="25A0EB64" w14:textId="77777777" w:rsidR="00EA0006" w:rsidRDefault="00951C6D" w:rsidP="008717BB">
      <w:pPr>
        <w:jc w:val="both"/>
        <w:rPr>
          <w:rFonts w:ascii="Arial" w:hAnsi="Arial" w:cs="Arial"/>
          <w:sz w:val="24"/>
          <w:szCs w:val="24"/>
          <w:lang w:val="en-US"/>
        </w:rPr>
      </w:pPr>
      <w:r>
        <w:rPr>
          <w:rFonts w:ascii="Arial" w:hAnsi="Arial" w:cs="Arial"/>
          <w:sz w:val="24"/>
          <w:szCs w:val="24"/>
          <w:lang w:val="en-US"/>
        </w:rPr>
        <w:t>We welcome the reminders on the context in which that draft law is put forward: “universality of human rights” and “self-determination”. In that framework, we think it is important not to refer to “sex and gender binary marker considered natural”</w:t>
      </w:r>
      <w:r w:rsidR="00EA0006">
        <w:rPr>
          <w:rFonts w:ascii="Arial" w:hAnsi="Arial" w:cs="Arial"/>
          <w:sz w:val="24"/>
          <w:szCs w:val="24"/>
          <w:lang w:val="en-US"/>
        </w:rPr>
        <w:t xml:space="preserve">, </w:t>
      </w:r>
      <w:r>
        <w:rPr>
          <w:rFonts w:ascii="Arial" w:hAnsi="Arial" w:cs="Arial"/>
          <w:sz w:val="24"/>
          <w:szCs w:val="24"/>
          <w:lang w:val="en-US"/>
        </w:rPr>
        <w:t xml:space="preserve">and to expressions such as “these” people. </w:t>
      </w:r>
      <w:r w:rsidR="00282CF2">
        <w:rPr>
          <w:rFonts w:ascii="Arial" w:hAnsi="Arial" w:cs="Arial"/>
          <w:sz w:val="24"/>
          <w:szCs w:val="24"/>
          <w:lang w:val="en-US"/>
        </w:rPr>
        <w:t xml:space="preserve"> The definition given in the draft law of the word “sex” is also problematic when it refers to the distinction of “men and women”. </w:t>
      </w:r>
      <w:r>
        <w:rPr>
          <w:rFonts w:ascii="Arial" w:hAnsi="Arial" w:cs="Arial"/>
          <w:sz w:val="24"/>
          <w:szCs w:val="24"/>
          <w:lang w:val="en-US"/>
        </w:rPr>
        <w:t>These formulations can be counter-productive and reinforce a binary model</w:t>
      </w:r>
      <w:r w:rsidR="00EA0006">
        <w:rPr>
          <w:rFonts w:ascii="Arial" w:hAnsi="Arial" w:cs="Arial"/>
          <w:sz w:val="24"/>
          <w:szCs w:val="24"/>
          <w:lang w:val="en-US"/>
        </w:rPr>
        <w:t xml:space="preserve"> that would be seen as the norm, broken by a minority of persons that the majority would have no other choice than tolerate.</w:t>
      </w:r>
    </w:p>
    <w:p w14:paraId="29731B65" w14:textId="77777777" w:rsidR="00322FAB" w:rsidRPr="00AF6943" w:rsidRDefault="00EA0006" w:rsidP="008717BB">
      <w:pPr>
        <w:pStyle w:val="Listenabsatz"/>
        <w:numPr>
          <w:ilvl w:val="1"/>
          <w:numId w:val="2"/>
        </w:numPr>
        <w:jc w:val="both"/>
        <w:rPr>
          <w:rFonts w:ascii="Arial" w:hAnsi="Arial" w:cs="Arial"/>
          <w:i/>
          <w:sz w:val="24"/>
          <w:szCs w:val="24"/>
          <w:lang w:val="en-US"/>
        </w:rPr>
      </w:pPr>
      <w:r w:rsidRPr="00AF6943">
        <w:rPr>
          <w:rFonts w:ascii="Arial" w:hAnsi="Arial" w:cs="Arial"/>
          <w:i/>
          <w:sz w:val="24"/>
          <w:szCs w:val="24"/>
          <w:lang w:val="en-US"/>
        </w:rPr>
        <w:t xml:space="preserve">On the deferral of </w:t>
      </w:r>
      <w:r w:rsidR="00322FAB" w:rsidRPr="00AF6943">
        <w:rPr>
          <w:rFonts w:ascii="Arial" w:hAnsi="Arial" w:cs="Arial"/>
          <w:i/>
          <w:sz w:val="24"/>
          <w:szCs w:val="24"/>
          <w:lang w:val="en-US"/>
        </w:rPr>
        <w:t>non-consensual medical</w:t>
      </w:r>
      <w:r w:rsidRPr="00AF6943">
        <w:rPr>
          <w:rFonts w:ascii="Arial" w:hAnsi="Arial" w:cs="Arial"/>
          <w:i/>
          <w:sz w:val="24"/>
          <w:szCs w:val="24"/>
          <w:lang w:val="en-US"/>
        </w:rPr>
        <w:t xml:space="preserve"> treatments:</w:t>
      </w:r>
    </w:p>
    <w:p w14:paraId="3FEEB0C8" w14:textId="77777777" w:rsidR="004144F2" w:rsidRPr="004144F2" w:rsidRDefault="004144F2" w:rsidP="008717BB">
      <w:pPr>
        <w:jc w:val="both"/>
        <w:rPr>
          <w:rFonts w:ascii="Arial" w:hAnsi="Arial" w:cs="Arial"/>
          <w:sz w:val="24"/>
          <w:szCs w:val="24"/>
          <w:lang w:val="en-US"/>
        </w:rPr>
      </w:pPr>
      <w:r>
        <w:rPr>
          <w:rFonts w:ascii="Arial" w:hAnsi="Arial" w:cs="Arial"/>
          <w:sz w:val="24"/>
          <w:szCs w:val="24"/>
          <w:lang w:val="en-US"/>
        </w:rPr>
        <w:t>I</w:t>
      </w:r>
      <w:r w:rsidRPr="004144F2">
        <w:rPr>
          <w:rFonts w:ascii="Arial" w:hAnsi="Arial" w:cs="Arial"/>
          <w:sz w:val="24"/>
          <w:szCs w:val="24"/>
          <w:lang w:val="en-US"/>
        </w:rPr>
        <w:t>n the absence of an express wish, (with free, full and informed consent of the intersex individual) all surgeries, hormone treatments and other invasive medical procedures that are not strictly medically necessary must be banned.</w:t>
      </w:r>
    </w:p>
    <w:p w14:paraId="4300C03F" w14:textId="77777777" w:rsidR="00951C6D" w:rsidRDefault="004144F2" w:rsidP="008717BB">
      <w:pPr>
        <w:jc w:val="both"/>
        <w:rPr>
          <w:rFonts w:ascii="Arial" w:hAnsi="Arial" w:cs="Arial"/>
          <w:sz w:val="24"/>
          <w:szCs w:val="24"/>
          <w:lang w:val="en-US"/>
        </w:rPr>
      </w:pPr>
      <w:r>
        <w:rPr>
          <w:rFonts w:ascii="Arial" w:hAnsi="Arial" w:cs="Arial"/>
          <w:sz w:val="24"/>
          <w:szCs w:val="24"/>
          <w:lang w:val="en-US"/>
        </w:rPr>
        <w:t xml:space="preserve">Then, the criteria to decide when not strictly medically necessary treatments do not have to be </w:t>
      </w:r>
      <w:r w:rsidR="00322FAB">
        <w:rPr>
          <w:rFonts w:ascii="Arial" w:hAnsi="Arial" w:cs="Arial"/>
          <w:sz w:val="24"/>
          <w:szCs w:val="24"/>
          <w:lang w:val="en-US"/>
        </w:rPr>
        <w:t>deferr</w:t>
      </w:r>
      <w:r>
        <w:rPr>
          <w:rFonts w:ascii="Arial" w:hAnsi="Arial" w:cs="Arial"/>
          <w:sz w:val="24"/>
          <w:szCs w:val="24"/>
          <w:lang w:val="en-US"/>
        </w:rPr>
        <w:t>ed anymore</w:t>
      </w:r>
      <w:r w:rsidR="00322FAB">
        <w:rPr>
          <w:rFonts w:ascii="Arial" w:hAnsi="Arial" w:cs="Arial"/>
          <w:sz w:val="24"/>
          <w:szCs w:val="24"/>
          <w:lang w:val="en-US"/>
        </w:rPr>
        <w:t xml:space="preserve"> should not be based on the moment when the gender identity of the child or the person is manifested. </w:t>
      </w:r>
      <w:r>
        <w:rPr>
          <w:rFonts w:ascii="Arial" w:hAnsi="Arial" w:cs="Arial"/>
          <w:sz w:val="24"/>
          <w:szCs w:val="24"/>
          <w:lang w:val="en-US"/>
        </w:rPr>
        <w:t xml:space="preserve">Indeed, young people should be allowed to explore their gender identity, and in many cases, this gender identity evolves or may not be strictly binary. </w:t>
      </w:r>
    </w:p>
    <w:p w14:paraId="0EDC17B1" w14:textId="77777777" w:rsidR="00B1690C" w:rsidRPr="00AF6943" w:rsidRDefault="00B1690C" w:rsidP="008717BB">
      <w:pPr>
        <w:pStyle w:val="Listenabsatz"/>
        <w:numPr>
          <w:ilvl w:val="1"/>
          <w:numId w:val="2"/>
        </w:numPr>
        <w:jc w:val="both"/>
        <w:rPr>
          <w:rFonts w:ascii="Arial" w:hAnsi="Arial" w:cs="Arial"/>
          <w:i/>
          <w:sz w:val="24"/>
          <w:szCs w:val="24"/>
          <w:lang w:val="en-US"/>
        </w:rPr>
      </w:pPr>
      <w:r w:rsidRPr="00AF6943">
        <w:rPr>
          <w:rFonts w:ascii="Arial" w:hAnsi="Arial" w:cs="Arial"/>
          <w:i/>
          <w:sz w:val="24"/>
          <w:szCs w:val="24"/>
          <w:lang w:val="en-US"/>
        </w:rPr>
        <w:t>On legal gender recognition of intersex people</w:t>
      </w:r>
    </w:p>
    <w:p w14:paraId="2C859CDF" w14:textId="1115DB32" w:rsidR="00B1690C" w:rsidRDefault="00B1690C" w:rsidP="008717BB">
      <w:pPr>
        <w:jc w:val="both"/>
        <w:rPr>
          <w:rFonts w:ascii="Arial" w:hAnsi="Arial" w:cs="Arial"/>
          <w:sz w:val="24"/>
          <w:szCs w:val="24"/>
          <w:lang w:val="en-US"/>
        </w:rPr>
      </w:pPr>
      <w:r>
        <w:rPr>
          <w:rFonts w:ascii="Arial" w:hAnsi="Arial" w:cs="Arial"/>
          <w:sz w:val="24"/>
          <w:szCs w:val="24"/>
          <w:lang w:val="en-US"/>
        </w:rPr>
        <w:t xml:space="preserve">We very much welcome the proposed option consisting of providing intersex persons with a possibility of getting their gender marker corrected through “simple administrative proceedings”. We also appreciate the </w:t>
      </w:r>
      <w:r w:rsidR="00CE6676">
        <w:rPr>
          <w:rFonts w:ascii="Arial" w:hAnsi="Arial" w:cs="Arial"/>
          <w:sz w:val="24"/>
          <w:szCs w:val="24"/>
          <w:lang w:val="en-US"/>
        </w:rPr>
        <w:t xml:space="preserve">intention </w:t>
      </w:r>
      <w:r>
        <w:rPr>
          <w:rFonts w:ascii="Arial" w:hAnsi="Arial" w:cs="Arial"/>
          <w:sz w:val="24"/>
          <w:szCs w:val="24"/>
          <w:lang w:val="en-US"/>
        </w:rPr>
        <w:t>not to replicate mistakes done in other contexts consisting in imposing a third gender option to anyone.</w:t>
      </w:r>
    </w:p>
    <w:p w14:paraId="1CDFDA00" w14:textId="77777777" w:rsidR="00C70C82" w:rsidRPr="00BB0A0E" w:rsidRDefault="00C70C82" w:rsidP="008717BB">
      <w:pPr>
        <w:pStyle w:val="Listenabsatz"/>
        <w:numPr>
          <w:ilvl w:val="0"/>
          <w:numId w:val="2"/>
        </w:numPr>
        <w:jc w:val="both"/>
        <w:rPr>
          <w:rFonts w:ascii="Arial" w:hAnsi="Arial" w:cs="Arial"/>
          <w:b/>
          <w:sz w:val="24"/>
          <w:szCs w:val="24"/>
          <w:lang w:val="en-US"/>
        </w:rPr>
      </w:pPr>
      <w:r w:rsidRPr="00BB0A0E">
        <w:rPr>
          <w:rFonts w:ascii="Arial" w:hAnsi="Arial" w:cs="Arial"/>
          <w:b/>
          <w:sz w:val="24"/>
          <w:szCs w:val="24"/>
          <w:lang w:val="en-US"/>
        </w:rPr>
        <w:t>On Chapter I</w:t>
      </w:r>
      <w:r w:rsidR="00CE78EF" w:rsidRPr="00BB0A0E">
        <w:rPr>
          <w:rFonts w:ascii="Arial" w:hAnsi="Arial" w:cs="Arial"/>
          <w:b/>
          <w:sz w:val="24"/>
          <w:szCs w:val="24"/>
          <w:lang w:val="en-US"/>
        </w:rPr>
        <w:t xml:space="preserve">, </w:t>
      </w:r>
      <w:r w:rsidRPr="00BB0A0E">
        <w:rPr>
          <w:rFonts w:ascii="Arial" w:hAnsi="Arial" w:cs="Arial"/>
          <w:b/>
          <w:sz w:val="24"/>
          <w:szCs w:val="24"/>
          <w:lang w:val="en-US"/>
        </w:rPr>
        <w:t>article 7: modifications of body/sex characteristics of minors</w:t>
      </w:r>
    </w:p>
    <w:p w14:paraId="21A22570" w14:textId="1E6F603A" w:rsidR="00FA7D74" w:rsidRPr="00442CE2" w:rsidRDefault="00C70C82">
      <w:pPr>
        <w:divId w:val="166599038"/>
        <w:rPr>
          <w:rFonts w:ascii="Arial" w:eastAsia="Times New Roman" w:hAnsi="Arial" w:cs="Arial"/>
          <w:iCs/>
          <w:sz w:val="24"/>
          <w:szCs w:val="24"/>
          <w:lang w:val="en-GB"/>
        </w:rPr>
      </w:pPr>
      <w:r>
        <w:rPr>
          <w:rFonts w:ascii="Arial" w:hAnsi="Arial" w:cs="Arial"/>
          <w:sz w:val="24"/>
          <w:szCs w:val="24"/>
          <w:lang w:val="en-US"/>
        </w:rPr>
        <w:lastRenderedPageBreak/>
        <w:t xml:space="preserve">The article seems to imply that even in a situation where the health of the person would be at risk, </w:t>
      </w:r>
      <w:r w:rsidR="003B5060">
        <w:rPr>
          <w:rFonts w:ascii="Arial" w:hAnsi="Arial" w:cs="Arial"/>
          <w:sz w:val="24"/>
          <w:szCs w:val="24"/>
          <w:lang w:val="en-US"/>
        </w:rPr>
        <w:t xml:space="preserve">medical treatments should not be performed if the person cannot consent. We consider that medical treatments should take place in life threatening situations and even if the person cannot consent. However, it is critical to make clear that those real life threatening situations are extremely specific and are not common. </w:t>
      </w:r>
      <w:r w:rsidR="007B4267">
        <w:rPr>
          <w:rFonts w:ascii="Arial" w:hAnsi="Arial" w:cs="Arial"/>
          <w:sz w:val="24"/>
          <w:szCs w:val="24"/>
          <w:lang w:val="en-US"/>
        </w:rPr>
        <w:t xml:space="preserve">In </w:t>
      </w:r>
      <w:r w:rsidR="00AA5452">
        <w:rPr>
          <w:rFonts w:ascii="Arial" w:hAnsi="Arial" w:cs="Arial"/>
          <w:sz w:val="24"/>
          <w:szCs w:val="24"/>
          <w:lang w:val="en-US"/>
        </w:rPr>
        <w:t xml:space="preserve">all situations </w:t>
      </w:r>
      <w:r w:rsidR="00246FAE" w:rsidRPr="00FA7D74">
        <w:rPr>
          <w:rFonts w:ascii="Arial" w:hAnsi="Arial" w:cs="Arial"/>
          <w:sz w:val="24"/>
          <w:szCs w:val="24"/>
          <w:lang w:val="en-US"/>
        </w:rPr>
        <w:t xml:space="preserve">that do not cause an </w:t>
      </w:r>
      <w:r w:rsidR="00195083">
        <w:rPr>
          <w:rFonts w:ascii="Arial" w:hAnsi="Arial" w:cs="Arial"/>
          <w:sz w:val="24"/>
          <w:szCs w:val="24"/>
          <w:lang w:val="en-US"/>
        </w:rPr>
        <w:t>immediate threat to</w:t>
      </w:r>
      <w:r w:rsidR="00246FAE" w:rsidRPr="00FA7D74">
        <w:rPr>
          <w:rFonts w:ascii="Arial" w:hAnsi="Arial" w:cs="Arial"/>
          <w:sz w:val="24"/>
          <w:szCs w:val="24"/>
          <w:lang w:val="en-US"/>
        </w:rPr>
        <w:t xml:space="preserve"> </w:t>
      </w:r>
      <w:r w:rsidR="00195083">
        <w:rPr>
          <w:rFonts w:ascii="Arial" w:hAnsi="Arial" w:cs="Arial"/>
          <w:sz w:val="24"/>
          <w:szCs w:val="24"/>
          <w:lang w:val="en-US"/>
        </w:rPr>
        <w:t xml:space="preserve">the life of the intersex person, all interventions and </w:t>
      </w:r>
      <w:r w:rsidR="00195083" w:rsidRPr="00FA7D74">
        <w:rPr>
          <w:rFonts w:ascii="Arial" w:hAnsi="Arial" w:cs="Arial"/>
          <w:sz w:val="24"/>
          <w:szCs w:val="24"/>
          <w:lang w:val="en-US"/>
        </w:rPr>
        <w:t>treatments</w:t>
      </w:r>
      <w:r w:rsidR="00246FAE" w:rsidRPr="00FA7D74">
        <w:rPr>
          <w:rFonts w:ascii="Arial" w:hAnsi="Arial" w:cs="Arial"/>
          <w:sz w:val="24"/>
          <w:szCs w:val="24"/>
          <w:lang w:val="en-US"/>
        </w:rPr>
        <w:t xml:space="preserve"> </w:t>
      </w:r>
      <w:r w:rsidR="007B4267">
        <w:rPr>
          <w:rFonts w:ascii="Arial" w:hAnsi="Arial" w:cs="Arial"/>
          <w:sz w:val="24"/>
          <w:szCs w:val="24"/>
          <w:lang w:val="en-US"/>
        </w:rPr>
        <w:t xml:space="preserve">must therefore </w:t>
      </w:r>
      <w:r w:rsidR="00245390" w:rsidRPr="00FA7D74">
        <w:rPr>
          <w:rFonts w:ascii="Arial" w:hAnsi="Arial" w:cs="Arial"/>
          <w:sz w:val="24"/>
          <w:szCs w:val="24"/>
          <w:lang w:val="en-US"/>
        </w:rPr>
        <w:t xml:space="preserve">be deferred </w:t>
      </w:r>
      <w:r w:rsidR="00245390" w:rsidRPr="00FA7D74">
        <w:rPr>
          <w:rFonts w:ascii="Arial" w:hAnsi="Arial" w:cs="Arial"/>
          <w:sz w:val="24"/>
          <w:szCs w:val="24"/>
          <w:lang w:val="en-GB"/>
        </w:rPr>
        <w:t>until the person to be treated can provide informed consent</w:t>
      </w:r>
      <w:r w:rsidR="00195083">
        <w:rPr>
          <w:rFonts w:ascii="Arial" w:hAnsi="Arial" w:cs="Arial"/>
          <w:sz w:val="24"/>
          <w:szCs w:val="24"/>
          <w:lang w:val="en-GB"/>
        </w:rPr>
        <w:t xml:space="preserve">. </w:t>
      </w:r>
      <w:r w:rsidR="004648A6">
        <w:rPr>
          <w:rFonts w:ascii="Arial" w:hAnsi="Arial" w:cs="Arial"/>
          <w:sz w:val="24"/>
          <w:szCs w:val="24"/>
          <w:lang w:val="en-GB"/>
        </w:rPr>
        <w:t xml:space="preserve">Following the Maltese example </w:t>
      </w:r>
      <w:r w:rsidR="004648A6" w:rsidRPr="00442CE2">
        <w:rPr>
          <w:rFonts w:ascii="Arial" w:hAnsi="Arial" w:cs="Arial"/>
          <w:sz w:val="24"/>
          <w:szCs w:val="24"/>
          <w:lang w:val="en-GB"/>
        </w:rPr>
        <w:t>“o</w:t>
      </w:r>
      <w:r w:rsidR="00195083" w:rsidRPr="00442CE2">
        <w:rPr>
          <w:rFonts w:ascii="Arial" w:hAnsi="Arial" w:cs="Arial"/>
          <w:sz w:val="24"/>
          <w:szCs w:val="24"/>
          <w:lang w:val="en-GB"/>
        </w:rPr>
        <w:t>nly</w:t>
      </w:r>
      <w:r w:rsidR="00FA7D74" w:rsidRPr="00442CE2">
        <w:rPr>
          <w:rFonts w:ascii="Arial" w:hAnsi="Arial" w:cs="Arial"/>
          <w:sz w:val="24"/>
          <w:szCs w:val="24"/>
          <w:lang w:val="en-GB"/>
        </w:rPr>
        <w:t xml:space="preserve"> </w:t>
      </w:r>
      <w:r w:rsidR="00195083" w:rsidRPr="00442CE2">
        <w:rPr>
          <w:rFonts w:ascii="Arial" w:eastAsia="Times New Roman" w:hAnsi="Arial" w:cs="Arial"/>
          <w:iCs/>
          <w:sz w:val="24"/>
          <w:szCs w:val="24"/>
          <w:lang w:val="en-GB"/>
        </w:rPr>
        <w:t>i</w:t>
      </w:r>
      <w:r w:rsidR="00811F72" w:rsidRPr="00442CE2">
        <w:rPr>
          <w:rFonts w:ascii="Arial" w:eastAsia="Times New Roman" w:hAnsi="Arial" w:cs="Arial"/>
          <w:iCs/>
          <w:sz w:val="24"/>
          <w:szCs w:val="24"/>
          <w:lang w:val="en-GB"/>
        </w:rPr>
        <w:t xml:space="preserve">n exceptional circumstances treatment may be effected once agreement is reached between </w:t>
      </w:r>
      <w:r w:rsidR="00195083" w:rsidRPr="00442CE2">
        <w:rPr>
          <w:rFonts w:ascii="Arial" w:eastAsia="Times New Roman" w:hAnsi="Arial" w:cs="Arial"/>
          <w:iCs/>
          <w:sz w:val="24"/>
          <w:szCs w:val="24"/>
          <w:lang w:val="en-GB"/>
        </w:rPr>
        <w:t>[</w:t>
      </w:r>
      <w:r w:rsidR="00246FAE" w:rsidRPr="00442CE2">
        <w:rPr>
          <w:rFonts w:ascii="Arial" w:eastAsia="Times New Roman" w:hAnsi="Arial" w:cs="Arial"/>
          <w:iCs/>
          <w:sz w:val="24"/>
          <w:szCs w:val="24"/>
          <w:lang w:val="en-GB"/>
        </w:rPr>
        <w:t>an</w:t>
      </w:r>
      <w:r w:rsidR="00195083" w:rsidRPr="00442CE2">
        <w:rPr>
          <w:rFonts w:ascii="Arial" w:eastAsia="Times New Roman" w:hAnsi="Arial" w:cs="Arial"/>
          <w:iCs/>
          <w:sz w:val="24"/>
          <w:szCs w:val="24"/>
          <w:lang w:val="en-GB"/>
        </w:rPr>
        <w:t>]</w:t>
      </w:r>
      <w:r w:rsidR="00811F72" w:rsidRPr="00442CE2">
        <w:rPr>
          <w:rFonts w:ascii="Arial" w:eastAsia="Times New Roman" w:hAnsi="Arial" w:cs="Arial"/>
          <w:iCs/>
          <w:sz w:val="24"/>
          <w:szCs w:val="24"/>
          <w:lang w:val="en-GB"/>
        </w:rPr>
        <w:t xml:space="preserve"> Interdisciplinary Team and the persons exercising parental authority or tutor of the minor who is still unable to provide consent: Provided that medical intervention which is driven by social factors without the consent of the minor, will be in violation of this Act.</w:t>
      </w:r>
      <w:r w:rsidR="00FA7D74" w:rsidRPr="00442CE2">
        <w:rPr>
          <w:rFonts w:ascii="Arial" w:eastAsia="Times New Roman" w:hAnsi="Arial" w:cs="Arial"/>
          <w:iCs/>
          <w:sz w:val="24"/>
          <w:szCs w:val="24"/>
          <w:lang w:val="en-GB"/>
        </w:rPr>
        <w:t>”</w:t>
      </w:r>
      <w:r w:rsidR="00245390" w:rsidRPr="00442CE2">
        <w:rPr>
          <w:rFonts w:ascii="Arial" w:eastAsia="Times New Roman" w:hAnsi="Arial" w:cs="Arial"/>
          <w:iCs/>
          <w:sz w:val="24"/>
          <w:szCs w:val="24"/>
          <w:lang w:val="en-GB"/>
        </w:rPr>
        <w:t xml:space="preserve"> </w:t>
      </w:r>
    </w:p>
    <w:p w14:paraId="7F42366D" w14:textId="0582674A" w:rsidR="00811F72" w:rsidRPr="00442CE2" w:rsidRDefault="00245390">
      <w:pPr>
        <w:divId w:val="166599038"/>
        <w:rPr>
          <w:rFonts w:ascii="Arial" w:eastAsia="Times New Roman" w:hAnsi="Arial" w:cs="Arial"/>
          <w:iCs/>
          <w:sz w:val="24"/>
          <w:szCs w:val="24"/>
          <w:lang w:val="en-GB"/>
        </w:rPr>
      </w:pPr>
      <w:r w:rsidRPr="00442CE2">
        <w:rPr>
          <w:rFonts w:ascii="Arial" w:eastAsia="Times New Roman" w:hAnsi="Arial" w:cs="Arial"/>
          <w:iCs/>
          <w:sz w:val="24"/>
          <w:szCs w:val="24"/>
          <w:lang w:val="en-GB"/>
        </w:rPr>
        <w:t xml:space="preserve">The Interdisciplinary Team should </w:t>
      </w:r>
      <w:r w:rsidR="00FA7D74" w:rsidRPr="00442CE2">
        <w:rPr>
          <w:rFonts w:ascii="Arial" w:eastAsia="Times New Roman" w:hAnsi="Arial" w:cs="Arial"/>
          <w:iCs/>
          <w:sz w:val="24"/>
          <w:szCs w:val="24"/>
          <w:lang w:val="en-GB"/>
        </w:rPr>
        <w:t xml:space="preserve">be appointed by the government and </w:t>
      </w:r>
      <w:r w:rsidRPr="00442CE2">
        <w:rPr>
          <w:rFonts w:ascii="Arial" w:eastAsia="Times New Roman" w:hAnsi="Arial" w:cs="Arial"/>
          <w:iCs/>
          <w:sz w:val="24"/>
          <w:szCs w:val="24"/>
          <w:lang w:val="en-GB"/>
        </w:rPr>
        <w:t xml:space="preserve">consist </w:t>
      </w:r>
      <w:r w:rsidR="00195083" w:rsidRPr="00442CE2">
        <w:rPr>
          <w:rFonts w:ascii="Arial" w:eastAsia="Times New Roman" w:hAnsi="Arial" w:cs="Arial"/>
          <w:iCs/>
          <w:sz w:val="24"/>
          <w:szCs w:val="24"/>
          <w:lang w:val="en-GB"/>
        </w:rPr>
        <w:t xml:space="preserve">in </w:t>
      </w:r>
      <w:r w:rsidRPr="00442CE2">
        <w:rPr>
          <w:rFonts w:ascii="Arial" w:eastAsia="Times New Roman" w:hAnsi="Arial" w:cs="Arial"/>
          <w:iCs/>
          <w:sz w:val="24"/>
          <w:szCs w:val="24"/>
          <w:lang w:val="en-GB"/>
        </w:rPr>
        <w:t xml:space="preserve">equal parts of human rights defenders with a special knowledge about intersex issues, </w:t>
      </w:r>
      <w:r w:rsidR="00FA7D74" w:rsidRPr="00442CE2">
        <w:rPr>
          <w:rFonts w:ascii="Arial" w:eastAsia="Times New Roman" w:hAnsi="Arial" w:cs="Arial"/>
          <w:iCs/>
          <w:sz w:val="24"/>
          <w:szCs w:val="24"/>
          <w:lang w:val="en-GB"/>
        </w:rPr>
        <w:t xml:space="preserve">independent </w:t>
      </w:r>
      <w:r w:rsidRPr="00442CE2">
        <w:rPr>
          <w:rFonts w:ascii="Arial" w:eastAsia="Times New Roman" w:hAnsi="Arial" w:cs="Arial"/>
          <w:iCs/>
          <w:sz w:val="24"/>
          <w:szCs w:val="24"/>
          <w:lang w:val="en-GB"/>
        </w:rPr>
        <w:t>psychologists and medical professionals.</w:t>
      </w:r>
      <w:r w:rsidR="004648A6" w:rsidRPr="00442CE2">
        <w:rPr>
          <w:rFonts w:ascii="Arial" w:eastAsia="Times New Roman" w:hAnsi="Arial" w:cs="Arial"/>
          <w:iCs/>
          <w:sz w:val="24"/>
          <w:szCs w:val="24"/>
          <w:lang w:val="en-GB"/>
        </w:rPr>
        <w:t xml:space="preserve"> The decision process should be documented comprehensively in order to allow the intersex person to retrace it later in life. </w:t>
      </w:r>
    </w:p>
    <w:p w14:paraId="52BAF450" w14:textId="47E8CB83" w:rsidR="003B5060" w:rsidRPr="00442CE2" w:rsidRDefault="00FA7D74" w:rsidP="00195083">
      <w:pPr>
        <w:divId w:val="166599038"/>
        <w:rPr>
          <w:rFonts w:ascii="Helvetica Neue" w:eastAsia="Times New Roman" w:hAnsi="Helvetica Neue" w:cs="Times New Roman"/>
          <w:i/>
          <w:iCs/>
          <w:sz w:val="24"/>
          <w:szCs w:val="24"/>
          <w:lang w:val="de-DE" w:eastAsia="de-DE"/>
        </w:rPr>
      </w:pPr>
      <w:r w:rsidRPr="00442CE2">
        <w:rPr>
          <w:rFonts w:ascii="Arial" w:eastAsia="Times New Roman" w:hAnsi="Arial" w:cs="Arial"/>
          <w:iCs/>
          <w:sz w:val="24"/>
          <w:szCs w:val="24"/>
          <w:lang w:val="en-GB"/>
        </w:rPr>
        <w:t xml:space="preserve">In order to ensure intersex people’s access to justice, the </w:t>
      </w:r>
      <w:r w:rsidRPr="00442CE2">
        <w:rPr>
          <w:rFonts w:ascii="Arial" w:eastAsia="Times New Roman" w:hAnsi="Arial" w:cs="Arial"/>
          <w:iCs/>
          <w:sz w:val="24"/>
          <w:szCs w:val="24"/>
          <w:lang w:val="en-US"/>
        </w:rPr>
        <w:t>reten</w:t>
      </w:r>
      <w:r w:rsidR="004648A6" w:rsidRPr="00442CE2">
        <w:rPr>
          <w:rFonts w:ascii="Arial" w:eastAsia="Times New Roman" w:hAnsi="Arial" w:cs="Arial"/>
          <w:iCs/>
          <w:sz w:val="24"/>
          <w:szCs w:val="24"/>
          <w:lang w:val="en-US"/>
        </w:rPr>
        <w:t>tion period for medical records should</w:t>
      </w:r>
      <w:r w:rsidRPr="00442CE2">
        <w:rPr>
          <w:rFonts w:ascii="Arial" w:eastAsia="Times New Roman" w:hAnsi="Arial" w:cs="Arial"/>
          <w:iCs/>
          <w:sz w:val="24"/>
          <w:szCs w:val="24"/>
          <w:lang w:val="en-US"/>
        </w:rPr>
        <w:t xml:space="preserve"> be such that it allows intersex people to access their records as capable adults. The statutes of limitation should match with the retention period.</w:t>
      </w:r>
      <w:r w:rsidR="00195083" w:rsidRPr="00442CE2" w:rsidDel="00811F72">
        <w:rPr>
          <w:rStyle w:val="Kommentarzeichen"/>
          <w:lang w:val="en-US"/>
        </w:rPr>
        <w:t xml:space="preserve"> </w:t>
      </w:r>
    </w:p>
    <w:p w14:paraId="693B7162" w14:textId="77777777" w:rsidR="00C70C82" w:rsidRPr="00442CE2" w:rsidRDefault="003B5060" w:rsidP="00442CE2">
      <w:pPr>
        <w:rPr>
          <w:rFonts w:ascii="Arial" w:eastAsia="Times New Roman" w:hAnsi="Arial" w:cs="Arial"/>
          <w:iCs/>
          <w:sz w:val="24"/>
          <w:szCs w:val="24"/>
          <w:lang w:val="en-GB"/>
        </w:rPr>
      </w:pPr>
      <w:r w:rsidRPr="00442CE2">
        <w:rPr>
          <w:rFonts w:ascii="Arial" w:eastAsia="Times New Roman" w:hAnsi="Arial" w:cs="Arial"/>
          <w:iCs/>
          <w:sz w:val="24"/>
          <w:szCs w:val="24"/>
          <w:lang w:val="en-GB"/>
        </w:rPr>
        <w:t>We would also like to reiterate that the criteria to be taken into account here is not “the moment in which the person’s gender identity is manifested” given gender identities can be fluctuant and are often not strictly binary.</w:t>
      </w:r>
    </w:p>
    <w:p w14:paraId="2879B204" w14:textId="7A925DAE" w:rsidR="003B5060" w:rsidRPr="00BB0A0E" w:rsidRDefault="00CE78EF" w:rsidP="00204270">
      <w:pPr>
        <w:numPr>
          <w:ilvl w:val="0"/>
          <w:numId w:val="2"/>
        </w:numPr>
        <w:spacing w:after="0" w:line="240" w:lineRule="auto"/>
        <w:rPr>
          <w:rFonts w:ascii="Arial" w:eastAsia="Times New Roman" w:hAnsi="Arial" w:cs="Arial"/>
          <w:b/>
          <w:iCs/>
          <w:sz w:val="24"/>
          <w:szCs w:val="24"/>
          <w:lang w:val="de-DE" w:eastAsia="de-DE"/>
        </w:rPr>
      </w:pPr>
      <w:r w:rsidRPr="00BB0A0E">
        <w:rPr>
          <w:rFonts w:ascii="Arial" w:eastAsia="Times New Roman" w:hAnsi="Arial" w:cs="Arial"/>
          <w:b/>
          <w:iCs/>
          <w:sz w:val="24"/>
          <w:szCs w:val="24"/>
          <w:lang w:val="de-DE" w:eastAsia="de-DE"/>
        </w:rPr>
        <w:t>On Chapter II</w:t>
      </w:r>
      <w:r w:rsidR="00204270">
        <w:rPr>
          <w:rFonts w:ascii="Arial" w:eastAsia="Times New Roman" w:hAnsi="Arial" w:cs="Arial"/>
          <w:b/>
          <w:iCs/>
          <w:sz w:val="24"/>
          <w:szCs w:val="24"/>
          <w:lang w:val="de-DE" w:eastAsia="de-DE"/>
        </w:rPr>
        <w:t xml:space="preserve">: </w:t>
      </w:r>
      <w:r w:rsidR="00204270" w:rsidRPr="00204270">
        <w:rPr>
          <w:rFonts w:ascii="Arial" w:eastAsia="Times New Roman" w:hAnsi="Arial" w:cs="Arial"/>
          <w:b/>
          <w:iCs/>
          <w:sz w:val="24"/>
          <w:szCs w:val="24"/>
          <w:lang w:val="de-DE" w:eastAsia="de-DE"/>
        </w:rPr>
        <w:t xml:space="preserve">Legal recognition of gender identity        </w:t>
      </w:r>
    </w:p>
    <w:p w14:paraId="5FAF0F21" w14:textId="77777777" w:rsidR="00792924" w:rsidRPr="00BB0A0E" w:rsidRDefault="00792924" w:rsidP="00811F72">
      <w:pPr>
        <w:spacing w:after="0" w:line="240" w:lineRule="auto"/>
        <w:rPr>
          <w:rFonts w:ascii="Arial" w:eastAsia="Times New Roman" w:hAnsi="Arial" w:cs="Arial"/>
          <w:iCs/>
          <w:sz w:val="24"/>
          <w:szCs w:val="24"/>
          <w:lang w:val="de-DE" w:eastAsia="de-DE"/>
        </w:rPr>
      </w:pPr>
    </w:p>
    <w:p w14:paraId="59E4505C" w14:textId="1CE4EB22" w:rsidR="00792924" w:rsidRPr="00BB0A0E" w:rsidRDefault="00792924" w:rsidP="00BB0A0E">
      <w:pPr>
        <w:pStyle w:val="Listenabsatz"/>
        <w:numPr>
          <w:ilvl w:val="1"/>
          <w:numId w:val="4"/>
        </w:numPr>
        <w:spacing w:after="0" w:line="240" w:lineRule="auto"/>
        <w:rPr>
          <w:rFonts w:ascii="Arial" w:eastAsia="Times New Roman" w:hAnsi="Arial" w:cs="Arial"/>
          <w:i/>
          <w:iCs/>
          <w:sz w:val="24"/>
          <w:szCs w:val="24"/>
          <w:lang w:val="de-DE" w:eastAsia="de-DE"/>
        </w:rPr>
      </w:pPr>
      <w:r w:rsidRPr="00BB0A0E">
        <w:rPr>
          <w:rFonts w:ascii="Arial" w:eastAsia="Times New Roman" w:hAnsi="Arial" w:cs="Arial"/>
          <w:i/>
          <w:iCs/>
          <w:sz w:val="24"/>
          <w:szCs w:val="24"/>
          <w:lang w:val="de-DE" w:eastAsia="de-DE"/>
        </w:rPr>
        <w:t xml:space="preserve">On </w:t>
      </w:r>
      <w:r w:rsidR="00CE78EF" w:rsidRPr="00BB0A0E">
        <w:rPr>
          <w:rFonts w:ascii="Arial" w:eastAsia="Times New Roman" w:hAnsi="Arial" w:cs="Arial"/>
          <w:i/>
          <w:iCs/>
          <w:sz w:val="24"/>
          <w:szCs w:val="24"/>
          <w:lang w:val="de-DE" w:eastAsia="de-DE"/>
        </w:rPr>
        <w:t>Article 8</w:t>
      </w:r>
      <w:r w:rsidR="00BB0A0E">
        <w:rPr>
          <w:rFonts w:ascii="Arial" w:eastAsia="Times New Roman" w:hAnsi="Arial" w:cs="Arial"/>
          <w:i/>
          <w:iCs/>
          <w:sz w:val="24"/>
          <w:szCs w:val="24"/>
          <w:lang w:val="de-DE" w:eastAsia="de-DE"/>
        </w:rPr>
        <w:t>: procedure</w:t>
      </w:r>
    </w:p>
    <w:p w14:paraId="26EBBE6D" w14:textId="77777777" w:rsidR="00792924" w:rsidRPr="00BB0A0E" w:rsidRDefault="00792924" w:rsidP="00811F72">
      <w:pPr>
        <w:spacing w:after="0" w:line="240" w:lineRule="auto"/>
        <w:rPr>
          <w:rFonts w:ascii="Arial" w:eastAsia="Times New Roman" w:hAnsi="Arial" w:cs="Arial"/>
          <w:iCs/>
          <w:sz w:val="24"/>
          <w:szCs w:val="24"/>
          <w:lang w:val="de-DE" w:eastAsia="de-DE"/>
        </w:rPr>
      </w:pPr>
    </w:p>
    <w:p w14:paraId="33EE614D" w14:textId="77777777" w:rsidR="00BB0A0E" w:rsidRPr="00BB0A0E" w:rsidRDefault="00792924" w:rsidP="00BB0A0E">
      <w:pPr>
        <w:pStyle w:val="Listenabsatz"/>
        <w:numPr>
          <w:ilvl w:val="2"/>
          <w:numId w:val="4"/>
        </w:numPr>
        <w:spacing w:after="0" w:line="240" w:lineRule="auto"/>
        <w:jc w:val="both"/>
        <w:rPr>
          <w:rFonts w:ascii="Arial" w:hAnsi="Arial" w:cs="Arial"/>
          <w:sz w:val="24"/>
          <w:szCs w:val="24"/>
          <w:lang w:val="en-US"/>
        </w:rPr>
      </w:pPr>
      <w:r w:rsidRPr="00BB0A0E">
        <w:rPr>
          <w:rFonts w:ascii="Arial" w:eastAsia="Times New Roman" w:hAnsi="Arial" w:cs="Arial"/>
          <w:iCs/>
          <w:sz w:val="24"/>
          <w:szCs w:val="24"/>
          <w:lang w:val="de-DE" w:eastAsia="de-DE"/>
        </w:rPr>
        <w:t>Art. 8-1</w:t>
      </w:r>
      <w:r w:rsidR="00CE78EF" w:rsidRPr="00BB0A0E">
        <w:rPr>
          <w:rFonts w:ascii="Arial" w:eastAsia="Times New Roman" w:hAnsi="Arial" w:cs="Arial"/>
          <w:iCs/>
          <w:sz w:val="24"/>
          <w:szCs w:val="24"/>
          <w:lang w:val="de-DE" w:eastAsia="de-DE"/>
        </w:rPr>
        <w:t>: “Procedure for a sex change” should be replaced by “procedure for legal gender recognition”</w:t>
      </w:r>
      <w:r w:rsidRPr="00BB0A0E">
        <w:rPr>
          <w:rFonts w:ascii="Arial" w:eastAsia="Times New Roman" w:hAnsi="Arial" w:cs="Arial"/>
          <w:iCs/>
          <w:sz w:val="24"/>
          <w:szCs w:val="24"/>
          <w:lang w:val="de-DE" w:eastAsia="de-DE"/>
        </w:rPr>
        <w:t>.</w:t>
      </w:r>
    </w:p>
    <w:p w14:paraId="4C07EF08" w14:textId="48C78874" w:rsidR="00BB0A0E" w:rsidRDefault="00792924" w:rsidP="00BB0A0E">
      <w:pPr>
        <w:pStyle w:val="Listenabsatz"/>
        <w:numPr>
          <w:ilvl w:val="2"/>
          <w:numId w:val="4"/>
        </w:numPr>
        <w:spacing w:after="0" w:line="240" w:lineRule="auto"/>
        <w:jc w:val="both"/>
        <w:rPr>
          <w:rFonts w:ascii="Arial" w:hAnsi="Arial" w:cs="Arial"/>
          <w:sz w:val="24"/>
          <w:szCs w:val="24"/>
          <w:lang w:val="en-US"/>
        </w:rPr>
      </w:pPr>
      <w:r w:rsidRPr="00BB0A0E">
        <w:rPr>
          <w:rFonts w:ascii="Arial" w:hAnsi="Arial" w:cs="Arial"/>
          <w:sz w:val="24"/>
          <w:szCs w:val="24"/>
          <w:lang w:val="en-US"/>
        </w:rPr>
        <w:t>Art. 8-2: We welcome the measures proposed to ensure the confidentiality of the legal gender recognition procedure</w:t>
      </w:r>
      <w:r w:rsidR="00CE6676" w:rsidRPr="00BB0A0E">
        <w:rPr>
          <w:rFonts w:ascii="Arial" w:hAnsi="Arial" w:cs="Arial"/>
          <w:sz w:val="24"/>
          <w:szCs w:val="24"/>
          <w:lang w:val="en-US"/>
        </w:rPr>
        <w:t xml:space="preserve">, but suggest </w:t>
      </w:r>
      <w:r w:rsidR="00BB0A0E" w:rsidRPr="00BB0A0E">
        <w:rPr>
          <w:rFonts w:ascii="Arial" w:hAnsi="Arial" w:cs="Arial"/>
          <w:sz w:val="24"/>
          <w:szCs w:val="24"/>
          <w:lang w:val="en-US"/>
        </w:rPr>
        <w:t>introducing</w:t>
      </w:r>
      <w:r w:rsidR="00CE6676" w:rsidRPr="00BB0A0E">
        <w:rPr>
          <w:rFonts w:ascii="Arial" w:hAnsi="Arial" w:cs="Arial"/>
          <w:sz w:val="24"/>
          <w:szCs w:val="24"/>
          <w:lang w:val="en-US"/>
        </w:rPr>
        <w:t xml:space="preserve"> into the law explicit mechanisms of enforcement.</w:t>
      </w:r>
    </w:p>
    <w:p w14:paraId="331F9E1F" w14:textId="77777777" w:rsidR="00BB0A0E" w:rsidRDefault="00792924" w:rsidP="00BB0A0E">
      <w:pPr>
        <w:pStyle w:val="Listenabsatz"/>
        <w:numPr>
          <w:ilvl w:val="2"/>
          <w:numId w:val="4"/>
        </w:numPr>
        <w:spacing w:after="0" w:line="240" w:lineRule="auto"/>
        <w:jc w:val="both"/>
        <w:rPr>
          <w:rFonts w:ascii="Arial" w:hAnsi="Arial" w:cs="Arial"/>
          <w:sz w:val="24"/>
          <w:szCs w:val="24"/>
          <w:lang w:val="en-US"/>
        </w:rPr>
      </w:pPr>
      <w:r w:rsidRPr="00BB0A0E">
        <w:rPr>
          <w:rFonts w:ascii="Arial" w:hAnsi="Arial" w:cs="Arial"/>
          <w:sz w:val="24"/>
          <w:szCs w:val="24"/>
          <w:lang w:val="en-US"/>
        </w:rPr>
        <w:t xml:space="preserve">Art. 8-3: the legal gender recognition procedure proposed through this draft law is based on self-determination. We believe that </w:t>
      </w:r>
      <w:r w:rsidR="00CE6676" w:rsidRPr="00BB0A0E">
        <w:rPr>
          <w:rFonts w:ascii="Arial" w:hAnsi="Arial" w:cs="Arial"/>
          <w:sz w:val="24"/>
          <w:szCs w:val="24"/>
          <w:lang w:val="en-US"/>
        </w:rPr>
        <w:t xml:space="preserve">if a person applies again for legal gender recognition it </w:t>
      </w:r>
      <w:r w:rsidRPr="00BB0A0E">
        <w:rPr>
          <w:rFonts w:ascii="Arial" w:hAnsi="Arial" w:cs="Arial"/>
          <w:sz w:val="24"/>
          <w:szCs w:val="24"/>
          <w:lang w:val="en-US"/>
        </w:rPr>
        <w:t xml:space="preserve">should also be based on self-determination: where a person’s gender identity would change after a legal gender recognition procedure has taken place, they should be able to get their gender legally </w:t>
      </w:r>
      <w:proofErr w:type="spellStart"/>
      <w:r w:rsidRPr="00BB0A0E">
        <w:rPr>
          <w:rFonts w:ascii="Arial" w:hAnsi="Arial" w:cs="Arial"/>
          <w:sz w:val="24"/>
          <w:szCs w:val="24"/>
          <w:lang w:val="en-US"/>
        </w:rPr>
        <w:t>recognised</w:t>
      </w:r>
      <w:proofErr w:type="spellEnd"/>
      <w:r w:rsidRPr="00BB0A0E">
        <w:rPr>
          <w:rFonts w:ascii="Arial" w:hAnsi="Arial" w:cs="Arial"/>
          <w:sz w:val="24"/>
          <w:szCs w:val="24"/>
          <w:lang w:val="en-US"/>
        </w:rPr>
        <w:t xml:space="preserve"> through a procedure as simple as the previous one.  </w:t>
      </w:r>
    </w:p>
    <w:p w14:paraId="6B4F70F1" w14:textId="77777777" w:rsidR="00BB0A0E" w:rsidRDefault="00957741" w:rsidP="00BB0A0E">
      <w:pPr>
        <w:pStyle w:val="Listenabsatz"/>
        <w:numPr>
          <w:ilvl w:val="2"/>
          <w:numId w:val="4"/>
        </w:numPr>
        <w:spacing w:after="0" w:line="240" w:lineRule="auto"/>
        <w:jc w:val="both"/>
        <w:rPr>
          <w:rFonts w:ascii="Arial" w:hAnsi="Arial" w:cs="Arial"/>
          <w:sz w:val="24"/>
          <w:szCs w:val="24"/>
          <w:lang w:val="en-US"/>
        </w:rPr>
      </w:pPr>
      <w:r w:rsidRPr="00BB0A0E">
        <w:rPr>
          <w:rFonts w:ascii="Arial" w:hAnsi="Arial" w:cs="Arial"/>
          <w:sz w:val="24"/>
          <w:szCs w:val="24"/>
          <w:lang w:val="en-US"/>
        </w:rPr>
        <w:t xml:space="preserve">Art. 8-4: We welcome the fact that the recognition of foreign decisions is explicitly regulated by this article. However, </w:t>
      </w:r>
      <w:r w:rsidR="00CE6676" w:rsidRPr="00BB0A0E">
        <w:rPr>
          <w:rFonts w:ascii="Arial" w:hAnsi="Arial" w:cs="Arial"/>
          <w:sz w:val="24"/>
          <w:szCs w:val="24"/>
          <w:lang w:val="en-US"/>
        </w:rPr>
        <w:t xml:space="preserve">we are also </w:t>
      </w:r>
      <w:r w:rsidRPr="00BB0A0E">
        <w:rPr>
          <w:rFonts w:ascii="Arial" w:hAnsi="Arial" w:cs="Arial"/>
          <w:sz w:val="24"/>
          <w:szCs w:val="24"/>
          <w:lang w:val="en-US"/>
        </w:rPr>
        <w:t xml:space="preserve">critical that access to the procedure for foreign residents, including refugees, is </w:t>
      </w:r>
      <w:r w:rsidR="00CE6676" w:rsidRPr="00BB0A0E">
        <w:rPr>
          <w:rFonts w:ascii="Arial" w:hAnsi="Arial" w:cs="Arial"/>
          <w:sz w:val="24"/>
          <w:szCs w:val="24"/>
          <w:lang w:val="en-US"/>
        </w:rPr>
        <w:t xml:space="preserve">not </w:t>
      </w:r>
      <w:r w:rsidRPr="00BB0A0E">
        <w:rPr>
          <w:rFonts w:ascii="Arial" w:hAnsi="Arial" w:cs="Arial"/>
          <w:sz w:val="24"/>
          <w:szCs w:val="24"/>
          <w:lang w:val="en-US"/>
        </w:rPr>
        <w:t>regulated in this draft law.</w:t>
      </w:r>
    </w:p>
    <w:p w14:paraId="7B450F17" w14:textId="66C489BC" w:rsidR="00CE6676" w:rsidRPr="00BB0A0E" w:rsidRDefault="00BB0A0E" w:rsidP="00BB0A0E">
      <w:pPr>
        <w:pStyle w:val="Listenabsatz"/>
        <w:numPr>
          <w:ilvl w:val="2"/>
          <w:numId w:val="4"/>
        </w:numPr>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Additional considerations: </w:t>
      </w:r>
      <w:r w:rsidR="00CE6676" w:rsidRPr="00BB0A0E">
        <w:rPr>
          <w:rFonts w:ascii="Arial" w:hAnsi="Arial" w:cs="Arial"/>
          <w:sz w:val="24"/>
          <w:szCs w:val="24"/>
          <w:lang w:val="en-US"/>
        </w:rPr>
        <w:t>In reference to PACE resolution 2048(2015) Article 6.2.4. we suggest to introduce the explicit possibility for a third gender marker</w:t>
      </w:r>
      <w:r w:rsidR="00195083" w:rsidRPr="00BB0A0E">
        <w:rPr>
          <w:rFonts w:ascii="Arial" w:hAnsi="Arial" w:cs="Arial"/>
          <w:sz w:val="24"/>
          <w:szCs w:val="24"/>
          <w:lang w:val="en-US"/>
        </w:rPr>
        <w:t xml:space="preserve"> on the basis of self-declaration</w:t>
      </w:r>
      <w:r w:rsidR="00CE6676" w:rsidRPr="00BB0A0E">
        <w:rPr>
          <w:rFonts w:ascii="Arial" w:hAnsi="Arial" w:cs="Arial"/>
          <w:sz w:val="24"/>
          <w:szCs w:val="24"/>
          <w:lang w:val="en-US"/>
        </w:rPr>
        <w:t>, for those who seek it, such as “x”, a different “marker”, leaving it blank or opting for removal of a gender marker altogether.</w:t>
      </w:r>
    </w:p>
    <w:p w14:paraId="2360D0CE" w14:textId="77777777" w:rsidR="008717BB" w:rsidRDefault="008717BB" w:rsidP="008717BB">
      <w:pPr>
        <w:pStyle w:val="Listenabsatz"/>
        <w:jc w:val="both"/>
        <w:rPr>
          <w:rFonts w:ascii="Arial" w:hAnsi="Arial" w:cs="Arial"/>
          <w:sz w:val="24"/>
          <w:szCs w:val="24"/>
          <w:lang w:val="en-US"/>
        </w:rPr>
      </w:pPr>
    </w:p>
    <w:p w14:paraId="54373498" w14:textId="151D43A2" w:rsidR="00957741" w:rsidRPr="00BB0A0E" w:rsidRDefault="008717BB" w:rsidP="00BB0A0E">
      <w:pPr>
        <w:pStyle w:val="Listenabsatz"/>
        <w:numPr>
          <w:ilvl w:val="1"/>
          <w:numId w:val="4"/>
        </w:numPr>
        <w:jc w:val="both"/>
        <w:rPr>
          <w:rFonts w:ascii="Arial" w:hAnsi="Arial" w:cs="Arial"/>
          <w:i/>
          <w:sz w:val="24"/>
          <w:szCs w:val="24"/>
          <w:lang w:val="en-US"/>
        </w:rPr>
      </w:pPr>
      <w:r w:rsidRPr="00BB0A0E">
        <w:rPr>
          <w:rFonts w:ascii="Arial" w:hAnsi="Arial" w:cs="Arial"/>
          <w:i/>
          <w:sz w:val="24"/>
          <w:szCs w:val="24"/>
          <w:lang w:val="en-US"/>
        </w:rPr>
        <w:t>On article 9-2</w:t>
      </w:r>
      <w:r w:rsidR="00BB0A0E">
        <w:rPr>
          <w:rFonts w:ascii="Arial" w:hAnsi="Arial" w:cs="Arial"/>
          <w:i/>
          <w:sz w:val="24"/>
          <w:szCs w:val="24"/>
          <w:lang w:val="en-US"/>
        </w:rPr>
        <w:t>: legitimacy</w:t>
      </w:r>
    </w:p>
    <w:p w14:paraId="64E9892D" w14:textId="77777777" w:rsidR="008717BB" w:rsidRDefault="008717BB" w:rsidP="008717BB">
      <w:pPr>
        <w:jc w:val="both"/>
        <w:rPr>
          <w:rFonts w:ascii="Arial" w:hAnsi="Arial" w:cs="Arial"/>
          <w:sz w:val="24"/>
          <w:szCs w:val="24"/>
          <w:lang w:val="en-US"/>
        </w:rPr>
      </w:pPr>
      <w:r w:rsidRPr="008717BB">
        <w:rPr>
          <w:rFonts w:ascii="Arial" w:hAnsi="Arial" w:cs="Arial"/>
          <w:sz w:val="24"/>
          <w:szCs w:val="24"/>
          <w:lang w:val="en-US"/>
        </w:rPr>
        <w:t>The procedure of legal gender recognition should be available to all without any age limit. There is no reason why children should have their fundamental rights less protected than adults. Changing one’s name and gender as a child cannot be harmful nor have irreversible consequences. On the contrary, allowing children to legally change their gender facilitates their social transition in school, which is a prerequisite for their well-being. Children’s best interests should be the core principle in the decision-making on their legal gender recognition.</w:t>
      </w:r>
    </w:p>
    <w:p w14:paraId="6E407B01" w14:textId="1EB84DE2" w:rsidR="008717BB" w:rsidRPr="00BB0A0E" w:rsidRDefault="008717BB" w:rsidP="00BB0A0E">
      <w:pPr>
        <w:pStyle w:val="Listenabsatz"/>
        <w:numPr>
          <w:ilvl w:val="1"/>
          <w:numId w:val="4"/>
        </w:numPr>
        <w:jc w:val="both"/>
        <w:rPr>
          <w:rFonts w:ascii="Arial" w:hAnsi="Arial" w:cs="Arial"/>
          <w:i/>
          <w:sz w:val="24"/>
          <w:szCs w:val="24"/>
          <w:lang w:val="en-US"/>
        </w:rPr>
      </w:pPr>
      <w:r w:rsidRPr="00BB0A0E">
        <w:rPr>
          <w:rFonts w:ascii="Arial" w:hAnsi="Arial" w:cs="Arial"/>
          <w:i/>
          <w:sz w:val="24"/>
          <w:szCs w:val="24"/>
          <w:lang w:val="en-US"/>
        </w:rPr>
        <w:t>On article 11-3</w:t>
      </w:r>
      <w:r w:rsidR="00BB0A0E">
        <w:rPr>
          <w:rFonts w:ascii="Arial" w:hAnsi="Arial" w:cs="Arial"/>
          <w:i/>
          <w:sz w:val="24"/>
          <w:szCs w:val="24"/>
          <w:lang w:val="en-US"/>
        </w:rPr>
        <w:t>: medical treatments</w:t>
      </w:r>
    </w:p>
    <w:p w14:paraId="3ABBD8A3" w14:textId="77777777" w:rsidR="008717BB" w:rsidRDefault="008717BB" w:rsidP="008717BB">
      <w:pPr>
        <w:jc w:val="both"/>
        <w:rPr>
          <w:rFonts w:ascii="Arial" w:hAnsi="Arial" w:cs="Arial"/>
          <w:sz w:val="24"/>
          <w:szCs w:val="24"/>
          <w:lang w:val="en-US"/>
        </w:rPr>
      </w:pPr>
      <w:r>
        <w:rPr>
          <w:rFonts w:ascii="Arial" w:hAnsi="Arial" w:cs="Arial"/>
          <w:sz w:val="24"/>
          <w:szCs w:val="24"/>
          <w:lang w:val="en-US"/>
        </w:rPr>
        <w:t xml:space="preserve">We welcome the </w:t>
      </w:r>
      <w:r w:rsidR="001C674D">
        <w:rPr>
          <w:rFonts w:ascii="Arial" w:hAnsi="Arial" w:cs="Arial"/>
          <w:sz w:val="24"/>
          <w:szCs w:val="24"/>
          <w:lang w:val="en-US"/>
        </w:rPr>
        <w:t xml:space="preserve">express mentioning of the </w:t>
      </w:r>
      <w:r>
        <w:rPr>
          <w:rFonts w:ascii="Arial" w:hAnsi="Arial" w:cs="Arial"/>
          <w:sz w:val="24"/>
          <w:szCs w:val="24"/>
          <w:lang w:val="en-US"/>
        </w:rPr>
        <w:t>prohibition of requ</w:t>
      </w:r>
      <w:r w:rsidR="001C674D">
        <w:rPr>
          <w:rFonts w:ascii="Arial" w:hAnsi="Arial" w:cs="Arial"/>
          <w:sz w:val="24"/>
          <w:szCs w:val="24"/>
          <w:lang w:val="en-US"/>
        </w:rPr>
        <w:t>esti</w:t>
      </w:r>
      <w:r>
        <w:rPr>
          <w:rFonts w:ascii="Arial" w:hAnsi="Arial" w:cs="Arial"/>
          <w:sz w:val="24"/>
          <w:szCs w:val="24"/>
          <w:lang w:val="en-US"/>
        </w:rPr>
        <w:t xml:space="preserve">ng </w:t>
      </w:r>
      <w:r w:rsidR="001C674D">
        <w:rPr>
          <w:rFonts w:ascii="Arial" w:hAnsi="Arial" w:cs="Arial"/>
          <w:sz w:val="24"/>
          <w:szCs w:val="24"/>
          <w:lang w:val="en-US"/>
        </w:rPr>
        <w:t xml:space="preserve">evidence of </w:t>
      </w:r>
      <w:r>
        <w:rPr>
          <w:rFonts w:ascii="Arial" w:hAnsi="Arial" w:cs="Arial"/>
          <w:sz w:val="24"/>
          <w:szCs w:val="24"/>
          <w:lang w:val="en-US"/>
        </w:rPr>
        <w:t>“medical procedures, sex reassignment surgery, sterilization or hormonal therapy</w:t>
      </w:r>
      <w:r w:rsidR="001C674D">
        <w:rPr>
          <w:rFonts w:ascii="Arial" w:hAnsi="Arial" w:cs="Arial"/>
          <w:sz w:val="24"/>
          <w:szCs w:val="24"/>
          <w:lang w:val="en-US"/>
        </w:rPr>
        <w:t>, (…) psychological or psychiatric treatments” as basis for a decision on the legal gender recognition procedure of a person.</w:t>
      </w:r>
    </w:p>
    <w:p w14:paraId="5372C80B" w14:textId="473DE79A" w:rsidR="001C674D" w:rsidRPr="00204270" w:rsidRDefault="00BC2296" w:rsidP="00204270">
      <w:pPr>
        <w:pStyle w:val="Listenabsatz"/>
        <w:numPr>
          <w:ilvl w:val="0"/>
          <w:numId w:val="4"/>
        </w:numPr>
        <w:jc w:val="both"/>
        <w:rPr>
          <w:rFonts w:ascii="Arial" w:hAnsi="Arial" w:cs="Arial"/>
          <w:b/>
          <w:sz w:val="24"/>
          <w:szCs w:val="24"/>
          <w:lang w:val="en-US"/>
        </w:rPr>
      </w:pPr>
      <w:r w:rsidRPr="00204270">
        <w:rPr>
          <w:rFonts w:ascii="Arial" w:hAnsi="Arial" w:cs="Arial"/>
          <w:b/>
          <w:sz w:val="24"/>
          <w:szCs w:val="24"/>
          <w:lang w:val="en-US"/>
        </w:rPr>
        <w:t>On Chapter III</w:t>
      </w:r>
      <w:r w:rsidR="00204270" w:rsidRPr="00204270">
        <w:rPr>
          <w:rFonts w:ascii="Arial" w:hAnsi="Arial" w:cs="Arial"/>
          <w:b/>
          <w:sz w:val="24"/>
          <w:szCs w:val="24"/>
          <w:lang w:val="en-US"/>
        </w:rPr>
        <w:t>: Measures of protection</w:t>
      </w:r>
    </w:p>
    <w:p w14:paraId="75713E3C" w14:textId="77777777" w:rsidR="00BC2296" w:rsidRDefault="00BC2296" w:rsidP="00BC2296">
      <w:pPr>
        <w:pStyle w:val="Listenabsatz"/>
        <w:ind w:left="408"/>
        <w:jc w:val="both"/>
        <w:rPr>
          <w:rFonts w:ascii="Arial" w:hAnsi="Arial" w:cs="Arial"/>
          <w:sz w:val="24"/>
          <w:szCs w:val="24"/>
          <w:lang w:val="en-US"/>
        </w:rPr>
      </w:pPr>
    </w:p>
    <w:p w14:paraId="146D87C0" w14:textId="2CEAE560" w:rsidR="00BC2296" w:rsidRDefault="00FE115A" w:rsidP="00BB0A0E">
      <w:pPr>
        <w:pStyle w:val="Listenabsatz"/>
        <w:numPr>
          <w:ilvl w:val="1"/>
          <w:numId w:val="4"/>
        </w:numPr>
        <w:jc w:val="both"/>
        <w:rPr>
          <w:rFonts w:ascii="Arial" w:hAnsi="Arial" w:cs="Arial"/>
          <w:i/>
          <w:sz w:val="24"/>
          <w:szCs w:val="24"/>
          <w:lang w:val="en-US"/>
        </w:rPr>
      </w:pPr>
      <w:r w:rsidRPr="00204270">
        <w:rPr>
          <w:rFonts w:ascii="Arial" w:hAnsi="Arial" w:cs="Arial"/>
          <w:i/>
          <w:sz w:val="24"/>
          <w:szCs w:val="24"/>
          <w:lang w:val="en-US"/>
        </w:rPr>
        <w:t>On article 13</w:t>
      </w:r>
      <w:r w:rsidR="00204270" w:rsidRPr="00204270">
        <w:rPr>
          <w:rFonts w:ascii="Arial" w:hAnsi="Arial" w:cs="Arial"/>
          <w:i/>
          <w:sz w:val="24"/>
          <w:szCs w:val="24"/>
          <w:lang w:val="en-US"/>
        </w:rPr>
        <w:t>: health</w:t>
      </w:r>
    </w:p>
    <w:p w14:paraId="4A6E5E6E" w14:textId="77777777" w:rsidR="00204270" w:rsidRPr="00204270" w:rsidRDefault="00204270" w:rsidP="00204270">
      <w:pPr>
        <w:pStyle w:val="Listenabsatz"/>
        <w:jc w:val="both"/>
        <w:rPr>
          <w:rFonts w:ascii="Arial" w:hAnsi="Arial" w:cs="Arial"/>
          <w:i/>
          <w:sz w:val="24"/>
          <w:szCs w:val="24"/>
          <w:lang w:val="en-US"/>
        </w:rPr>
      </w:pPr>
    </w:p>
    <w:p w14:paraId="324B160E" w14:textId="77777777" w:rsidR="00204270" w:rsidRDefault="00FE115A" w:rsidP="00204270">
      <w:pPr>
        <w:pStyle w:val="Listenabsatz"/>
        <w:numPr>
          <w:ilvl w:val="2"/>
          <w:numId w:val="4"/>
        </w:numPr>
        <w:jc w:val="both"/>
        <w:rPr>
          <w:rFonts w:ascii="Arial" w:hAnsi="Arial" w:cs="Arial"/>
          <w:sz w:val="24"/>
          <w:szCs w:val="24"/>
          <w:lang w:val="en-US"/>
        </w:rPr>
      </w:pPr>
      <w:r w:rsidRPr="00204270">
        <w:rPr>
          <w:rFonts w:ascii="Arial" w:hAnsi="Arial" w:cs="Arial"/>
          <w:sz w:val="24"/>
          <w:szCs w:val="24"/>
          <w:lang w:val="en-US"/>
        </w:rPr>
        <w:t xml:space="preserve">Art. 13-3: </w:t>
      </w:r>
      <w:r w:rsidR="00BC2296" w:rsidRPr="00204270">
        <w:rPr>
          <w:rFonts w:ascii="Arial" w:hAnsi="Arial" w:cs="Arial"/>
          <w:sz w:val="24"/>
          <w:szCs w:val="24"/>
          <w:lang w:val="en-US"/>
        </w:rPr>
        <w:t>We</w:t>
      </w:r>
      <w:r w:rsidRPr="00204270">
        <w:rPr>
          <w:rFonts w:ascii="Arial" w:hAnsi="Arial" w:cs="Arial"/>
          <w:sz w:val="24"/>
          <w:szCs w:val="24"/>
          <w:lang w:val="en-US"/>
        </w:rPr>
        <w:t xml:space="preserve"> welcome this article which would contribute to ensure the respect of intersex people’s right to full information and access to their own medical records and history.</w:t>
      </w:r>
    </w:p>
    <w:p w14:paraId="4008BF47" w14:textId="0599EC0F" w:rsidR="00FE115A" w:rsidRPr="00204270" w:rsidRDefault="00FE115A" w:rsidP="00204270">
      <w:pPr>
        <w:pStyle w:val="Listenabsatz"/>
        <w:numPr>
          <w:ilvl w:val="2"/>
          <w:numId w:val="4"/>
        </w:numPr>
        <w:jc w:val="both"/>
        <w:rPr>
          <w:rFonts w:ascii="Arial" w:hAnsi="Arial" w:cs="Arial"/>
          <w:sz w:val="24"/>
          <w:szCs w:val="24"/>
          <w:lang w:val="en-US"/>
        </w:rPr>
      </w:pPr>
      <w:r w:rsidRPr="00204270">
        <w:rPr>
          <w:rFonts w:ascii="Arial" w:hAnsi="Arial" w:cs="Arial"/>
          <w:sz w:val="24"/>
          <w:szCs w:val="24"/>
          <w:lang w:val="en-US"/>
        </w:rPr>
        <w:t xml:space="preserve">Art. 13-4: </w:t>
      </w:r>
    </w:p>
    <w:p w14:paraId="2A9EE3A1" w14:textId="77777777" w:rsidR="00CE6676" w:rsidRPr="00CE6676" w:rsidRDefault="00CE6676" w:rsidP="00CE6676">
      <w:pPr>
        <w:pStyle w:val="Listenabsatz"/>
        <w:jc w:val="both"/>
        <w:rPr>
          <w:rFonts w:ascii="Arial" w:hAnsi="Arial" w:cs="Arial"/>
          <w:sz w:val="24"/>
          <w:szCs w:val="24"/>
          <w:lang w:val="en-GB"/>
        </w:rPr>
      </w:pPr>
      <w:r w:rsidRPr="00CE6676">
        <w:rPr>
          <w:rFonts w:ascii="Arial" w:hAnsi="Arial" w:cs="Arial"/>
          <w:sz w:val="24"/>
          <w:szCs w:val="24"/>
          <w:lang w:val="en-GB"/>
        </w:rPr>
        <w:t xml:space="preserve">Article 13.2 (Health) inscribes a leading role to psychiatry in access to gender confirming treatment. This is against the spirit of </w:t>
      </w:r>
      <w:r>
        <w:rPr>
          <w:rFonts w:ascii="Arial" w:hAnsi="Arial" w:cs="Arial"/>
          <w:sz w:val="24"/>
          <w:szCs w:val="24"/>
          <w:lang w:val="en-GB"/>
        </w:rPr>
        <w:t>this</w:t>
      </w:r>
      <w:r w:rsidRPr="00CE6676">
        <w:rPr>
          <w:rFonts w:ascii="Arial" w:hAnsi="Arial" w:cs="Arial"/>
          <w:sz w:val="24"/>
          <w:szCs w:val="24"/>
          <w:lang w:val="en-GB"/>
        </w:rPr>
        <w:t xml:space="preserve"> law</w:t>
      </w:r>
      <w:r>
        <w:rPr>
          <w:rFonts w:ascii="Arial" w:hAnsi="Arial" w:cs="Arial"/>
          <w:sz w:val="24"/>
          <w:szCs w:val="24"/>
          <w:lang w:val="en-GB"/>
        </w:rPr>
        <w:t xml:space="preserve">, which is based on </w:t>
      </w:r>
      <w:r w:rsidRPr="00CE6676">
        <w:rPr>
          <w:rFonts w:ascii="Arial" w:hAnsi="Arial" w:cs="Arial"/>
          <w:sz w:val="24"/>
          <w:szCs w:val="24"/>
          <w:lang w:val="en-GB"/>
        </w:rPr>
        <w:t xml:space="preserve">self-determination. </w:t>
      </w:r>
      <w:r>
        <w:rPr>
          <w:rFonts w:ascii="Arial" w:hAnsi="Arial" w:cs="Arial"/>
          <w:sz w:val="24"/>
          <w:szCs w:val="24"/>
          <w:lang w:val="en-GB"/>
        </w:rPr>
        <w:t xml:space="preserve">We suggest </w:t>
      </w:r>
      <w:r w:rsidRPr="00CE6676">
        <w:rPr>
          <w:rFonts w:ascii="Arial" w:hAnsi="Arial" w:cs="Arial"/>
          <w:sz w:val="24"/>
          <w:szCs w:val="24"/>
          <w:lang w:val="en-GB"/>
        </w:rPr>
        <w:t xml:space="preserve">to delete Article 13.2) and extend article 12.4) </w:t>
      </w:r>
      <w:r>
        <w:rPr>
          <w:rFonts w:ascii="Arial" w:hAnsi="Arial" w:cs="Arial"/>
          <w:sz w:val="24"/>
          <w:szCs w:val="24"/>
          <w:lang w:val="en-GB"/>
        </w:rPr>
        <w:t xml:space="preserve">by </w:t>
      </w:r>
      <w:r w:rsidRPr="00CE6676">
        <w:rPr>
          <w:rFonts w:ascii="Arial" w:hAnsi="Arial" w:cs="Arial"/>
          <w:sz w:val="24"/>
          <w:szCs w:val="24"/>
          <w:lang w:val="en-GB"/>
        </w:rPr>
        <w:t xml:space="preserve">the development of a healthcare protocol that is based on the informed consent model, ensuring that those seeking gender affirming treatment can have access to it without having to be subjected to mandatory psychiatry assessments. </w:t>
      </w:r>
    </w:p>
    <w:p w14:paraId="2C8F735A" w14:textId="77777777" w:rsidR="00FE115A" w:rsidRDefault="00FE115A" w:rsidP="00FE115A">
      <w:pPr>
        <w:pStyle w:val="Listenabsatz"/>
        <w:jc w:val="both"/>
        <w:rPr>
          <w:rFonts w:ascii="Arial" w:hAnsi="Arial" w:cs="Arial"/>
          <w:sz w:val="24"/>
          <w:szCs w:val="24"/>
          <w:lang w:val="en-US"/>
        </w:rPr>
      </w:pPr>
    </w:p>
    <w:p w14:paraId="164911B3" w14:textId="77777777" w:rsidR="00FE115A" w:rsidRPr="00204270" w:rsidRDefault="00FE115A" w:rsidP="00BB0A0E">
      <w:pPr>
        <w:pStyle w:val="Listenabsatz"/>
        <w:numPr>
          <w:ilvl w:val="1"/>
          <w:numId w:val="4"/>
        </w:numPr>
        <w:jc w:val="both"/>
        <w:rPr>
          <w:rFonts w:ascii="Arial" w:hAnsi="Arial" w:cs="Arial"/>
          <w:i/>
          <w:sz w:val="24"/>
          <w:szCs w:val="24"/>
          <w:lang w:val="en-US"/>
        </w:rPr>
      </w:pPr>
      <w:r w:rsidRPr="00204270">
        <w:rPr>
          <w:rFonts w:ascii="Arial" w:hAnsi="Arial" w:cs="Arial"/>
          <w:i/>
          <w:sz w:val="24"/>
          <w:szCs w:val="24"/>
          <w:lang w:val="en-US"/>
        </w:rPr>
        <w:t>On article 14</w:t>
      </w:r>
    </w:p>
    <w:p w14:paraId="0C38B6E1" w14:textId="77777777" w:rsidR="00FE115A" w:rsidRDefault="00FE115A" w:rsidP="00FE115A">
      <w:pPr>
        <w:jc w:val="both"/>
        <w:rPr>
          <w:rFonts w:ascii="Arial" w:hAnsi="Arial" w:cs="Arial"/>
          <w:sz w:val="24"/>
          <w:szCs w:val="24"/>
          <w:lang w:val="en-US"/>
        </w:rPr>
      </w:pPr>
      <w:r>
        <w:rPr>
          <w:rFonts w:ascii="Arial" w:hAnsi="Arial" w:cs="Arial"/>
          <w:sz w:val="24"/>
          <w:szCs w:val="24"/>
          <w:lang w:val="en-US"/>
        </w:rPr>
        <w:t xml:space="preserve">The measures proposed in the area of education are very relevant and important. We reiterate however that the ability of minors to get their name changed and their gender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would greatly improve their schooling life – and therefore their overall well-being. </w:t>
      </w:r>
      <w:r w:rsidR="00CE6676">
        <w:rPr>
          <w:rFonts w:ascii="Arial" w:hAnsi="Arial" w:cs="Arial"/>
          <w:sz w:val="24"/>
          <w:szCs w:val="24"/>
          <w:lang w:val="en-US"/>
        </w:rPr>
        <w:t>Similar provisions should be adopted to enable the change of work-related certificates and documents, whether issued by state or non-state actors.</w:t>
      </w:r>
    </w:p>
    <w:p w14:paraId="3F2D3F12" w14:textId="77777777" w:rsidR="005E403A" w:rsidRDefault="005E403A" w:rsidP="005E403A">
      <w:pPr>
        <w:jc w:val="both"/>
        <w:rPr>
          <w:rFonts w:ascii="Arial" w:hAnsi="Arial" w:cs="Arial"/>
          <w:b/>
          <w:sz w:val="24"/>
          <w:szCs w:val="24"/>
          <w:lang w:val="en-GB"/>
        </w:rPr>
      </w:pPr>
      <w:r>
        <w:rPr>
          <w:rFonts w:ascii="Arial" w:hAnsi="Arial" w:cs="Arial"/>
          <w:b/>
          <w:sz w:val="24"/>
          <w:szCs w:val="24"/>
          <w:lang w:val="en-GB"/>
        </w:rPr>
        <w:lastRenderedPageBreak/>
        <w:t>Persons of contact:</w:t>
      </w:r>
    </w:p>
    <w:p w14:paraId="45D975F9" w14:textId="77777777" w:rsidR="005E403A" w:rsidRDefault="005E403A" w:rsidP="005E403A">
      <w:pPr>
        <w:jc w:val="both"/>
        <w:rPr>
          <w:rFonts w:ascii="Arial" w:hAnsi="Arial" w:cs="Arial"/>
          <w:sz w:val="24"/>
          <w:szCs w:val="24"/>
          <w:lang w:val="en-GB"/>
        </w:rPr>
      </w:pPr>
      <w:r>
        <w:rPr>
          <w:rFonts w:ascii="Arial" w:hAnsi="Arial" w:cs="Arial"/>
          <w:sz w:val="24"/>
          <w:szCs w:val="24"/>
          <w:lang w:val="en-GB"/>
        </w:rPr>
        <w:t xml:space="preserve">Richard Koehler, Senior Policy Officer; Deputy Executive Director, Transgender Europe (TGEU), </w:t>
      </w:r>
      <w:hyperlink r:id="rId9" w:history="1">
        <w:r>
          <w:rPr>
            <w:rStyle w:val="Link"/>
            <w:rFonts w:ascii="Arial" w:hAnsi="Arial" w:cs="Arial"/>
            <w:sz w:val="24"/>
            <w:szCs w:val="24"/>
            <w:lang w:val="en-GB"/>
          </w:rPr>
          <w:t>richard@tgeu.org</w:t>
        </w:r>
      </w:hyperlink>
    </w:p>
    <w:p w14:paraId="428FA288" w14:textId="77777777" w:rsidR="005E403A" w:rsidRDefault="005E403A" w:rsidP="005E403A">
      <w:pPr>
        <w:jc w:val="both"/>
        <w:rPr>
          <w:rFonts w:ascii="Arial" w:hAnsi="Arial" w:cs="Arial"/>
          <w:sz w:val="24"/>
          <w:szCs w:val="24"/>
          <w:lang w:val="en-GB"/>
        </w:rPr>
      </w:pPr>
      <w:r>
        <w:rPr>
          <w:rFonts w:ascii="Arial" w:hAnsi="Arial" w:cs="Arial"/>
          <w:sz w:val="24"/>
          <w:szCs w:val="24"/>
          <w:lang w:val="en-GB"/>
        </w:rPr>
        <w:t xml:space="preserve">Dan Christian Ghattas, Executive Board, Co-Chair, Organisation Intersex International Europe (OII Europe), </w:t>
      </w:r>
      <w:hyperlink r:id="rId10" w:history="1">
        <w:r>
          <w:rPr>
            <w:rStyle w:val="Link"/>
            <w:rFonts w:ascii="Arial" w:hAnsi="Arial" w:cs="Arial"/>
            <w:sz w:val="24"/>
            <w:szCs w:val="24"/>
            <w:lang w:val="en-GB"/>
          </w:rPr>
          <w:t>dan@oiieurope.org</w:t>
        </w:r>
      </w:hyperlink>
    </w:p>
    <w:p w14:paraId="1B5B036A" w14:textId="77777777" w:rsidR="005E403A" w:rsidRDefault="005E403A" w:rsidP="005E403A">
      <w:pPr>
        <w:jc w:val="both"/>
        <w:rPr>
          <w:rFonts w:ascii="Arial" w:hAnsi="Arial" w:cs="Arial"/>
          <w:sz w:val="24"/>
          <w:szCs w:val="24"/>
          <w:lang w:val="en-GB"/>
        </w:rPr>
      </w:pPr>
      <w:r>
        <w:rPr>
          <w:rFonts w:ascii="Arial" w:hAnsi="Arial" w:cs="Arial"/>
          <w:sz w:val="24"/>
          <w:szCs w:val="24"/>
          <w:lang w:val="en-GB"/>
        </w:rPr>
        <w:t xml:space="preserve">Sophie Aujean, Senior Policy and Programmes Officer, European region of the International Lesbian, Gay, Bisexual, Trans and Intersex Association (ILGA-Europe), </w:t>
      </w:r>
      <w:hyperlink r:id="rId11" w:history="1">
        <w:r>
          <w:rPr>
            <w:rStyle w:val="Link"/>
            <w:rFonts w:ascii="Arial" w:hAnsi="Arial" w:cs="Arial"/>
            <w:sz w:val="24"/>
            <w:szCs w:val="24"/>
            <w:lang w:val="en-GB"/>
          </w:rPr>
          <w:t>sophie@ilga-europe.org</w:t>
        </w:r>
      </w:hyperlink>
    </w:p>
    <w:p w14:paraId="488A6234" w14:textId="77777777" w:rsidR="005E403A" w:rsidRPr="005E403A" w:rsidRDefault="005E403A" w:rsidP="00FE115A">
      <w:pPr>
        <w:jc w:val="both"/>
        <w:rPr>
          <w:rFonts w:ascii="Arial" w:hAnsi="Arial" w:cs="Arial"/>
          <w:sz w:val="24"/>
          <w:szCs w:val="24"/>
          <w:lang w:val="en-GB"/>
        </w:rPr>
      </w:pPr>
    </w:p>
    <w:sectPr w:rsidR="005E403A" w:rsidRPr="005E403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C87B6" w15:done="0"/>
  <w15:commentEx w15:paraId="319B75A7" w15:paraIdParent="76CC87B6" w15:done="0"/>
  <w15:commentEx w15:paraId="3F3C278C" w15:done="0"/>
  <w15:commentEx w15:paraId="1F7F573E" w15:done="0"/>
  <w15:commentEx w15:paraId="73429E64" w15:done="0"/>
  <w15:commentEx w15:paraId="7C22C1D1" w15:paraIdParent="73429E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00C"/>
    <w:multiLevelType w:val="multilevel"/>
    <w:tmpl w:val="0264357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F600D2"/>
    <w:multiLevelType w:val="hybridMultilevel"/>
    <w:tmpl w:val="BBA4F6C0"/>
    <w:lvl w:ilvl="0" w:tplc="856AA9A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5D179EA"/>
    <w:multiLevelType w:val="hybridMultilevel"/>
    <w:tmpl w:val="6D2A5DC6"/>
    <w:lvl w:ilvl="0" w:tplc="FDB0F95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AD47A46"/>
    <w:multiLevelType w:val="multilevel"/>
    <w:tmpl w:val="D2BE6D9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w15:presenceInfo w15:providerId="None" w15:userId="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D03"/>
    <w:rsid w:val="000B265C"/>
    <w:rsid w:val="000D4480"/>
    <w:rsid w:val="00195083"/>
    <w:rsid w:val="001C674D"/>
    <w:rsid w:val="00204270"/>
    <w:rsid w:val="002136D7"/>
    <w:rsid w:val="00245390"/>
    <w:rsid w:val="00246FAE"/>
    <w:rsid w:val="00282CF2"/>
    <w:rsid w:val="0029391E"/>
    <w:rsid w:val="00322FAB"/>
    <w:rsid w:val="00380982"/>
    <w:rsid w:val="003B5060"/>
    <w:rsid w:val="003C226E"/>
    <w:rsid w:val="004144F2"/>
    <w:rsid w:val="00442CE2"/>
    <w:rsid w:val="004648A6"/>
    <w:rsid w:val="004D5BB5"/>
    <w:rsid w:val="00525239"/>
    <w:rsid w:val="005B16A9"/>
    <w:rsid w:val="005E403A"/>
    <w:rsid w:val="00662FE5"/>
    <w:rsid w:val="00792924"/>
    <w:rsid w:val="007B4267"/>
    <w:rsid w:val="007F43E6"/>
    <w:rsid w:val="00811F72"/>
    <w:rsid w:val="008717BB"/>
    <w:rsid w:val="00872114"/>
    <w:rsid w:val="00951C6D"/>
    <w:rsid w:val="00957741"/>
    <w:rsid w:val="00A8721D"/>
    <w:rsid w:val="00A9022A"/>
    <w:rsid w:val="00AA5452"/>
    <w:rsid w:val="00AF6943"/>
    <w:rsid w:val="00B1690C"/>
    <w:rsid w:val="00BB0A0E"/>
    <w:rsid w:val="00BC2296"/>
    <w:rsid w:val="00C56566"/>
    <w:rsid w:val="00C70C82"/>
    <w:rsid w:val="00CA4E3D"/>
    <w:rsid w:val="00CC5D8D"/>
    <w:rsid w:val="00CD0F72"/>
    <w:rsid w:val="00CE6676"/>
    <w:rsid w:val="00CE78EF"/>
    <w:rsid w:val="00E50375"/>
    <w:rsid w:val="00EA0006"/>
    <w:rsid w:val="00EE0AFF"/>
    <w:rsid w:val="00FA7D74"/>
    <w:rsid w:val="00FE115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E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E3D"/>
    <w:pPr>
      <w:ind w:left="720"/>
      <w:contextualSpacing/>
    </w:pPr>
  </w:style>
  <w:style w:type="character" w:styleId="Kommentarzeichen">
    <w:name w:val="annotation reference"/>
    <w:basedOn w:val="Absatzstandardschriftart"/>
    <w:uiPriority w:val="99"/>
    <w:semiHidden/>
    <w:unhideWhenUsed/>
    <w:rsid w:val="00B1690C"/>
    <w:rPr>
      <w:sz w:val="16"/>
      <w:szCs w:val="16"/>
    </w:rPr>
  </w:style>
  <w:style w:type="paragraph" w:styleId="Kommentartext">
    <w:name w:val="annotation text"/>
    <w:basedOn w:val="Standard"/>
    <w:link w:val="KommentartextZeichen"/>
    <w:uiPriority w:val="99"/>
    <w:semiHidden/>
    <w:unhideWhenUsed/>
    <w:rsid w:val="00B1690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1690C"/>
    <w:rPr>
      <w:sz w:val="20"/>
      <w:szCs w:val="20"/>
    </w:rPr>
  </w:style>
  <w:style w:type="paragraph" w:styleId="Kommentarthema">
    <w:name w:val="annotation subject"/>
    <w:basedOn w:val="Kommentartext"/>
    <w:next w:val="Kommentartext"/>
    <w:link w:val="KommentarthemaZeichen"/>
    <w:uiPriority w:val="99"/>
    <w:semiHidden/>
    <w:unhideWhenUsed/>
    <w:rsid w:val="00B1690C"/>
    <w:rPr>
      <w:b/>
      <w:bCs/>
    </w:rPr>
  </w:style>
  <w:style w:type="character" w:customStyle="1" w:styleId="KommentarthemaZeichen">
    <w:name w:val="Kommentarthema Zeichen"/>
    <w:basedOn w:val="KommentartextZeichen"/>
    <w:link w:val="Kommentarthema"/>
    <w:uiPriority w:val="99"/>
    <w:semiHidden/>
    <w:rsid w:val="00B1690C"/>
    <w:rPr>
      <w:b/>
      <w:bCs/>
      <w:sz w:val="20"/>
      <w:szCs w:val="20"/>
    </w:rPr>
  </w:style>
  <w:style w:type="paragraph" w:styleId="Sprechblasentext">
    <w:name w:val="Balloon Text"/>
    <w:basedOn w:val="Standard"/>
    <w:link w:val="SprechblasentextZeichen"/>
    <w:uiPriority w:val="99"/>
    <w:semiHidden/>
    <w:unhideWhenUsed/>
    <w:rsid w:val="00B1690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1690C"/>
    <w:rPr>
      <w:rFonts w:ascii="Tahoma" w:hAnsi="Tahoma" w:cs="Tahoma"/>
      <w:sz w:val="16"/>
      <w:szCs w:val="16"/>
    </w:rPr>
  </w:style>
  <w:style w:type="paragraph" w:styleId="StandardWeb">
    <w:name w:val="Normal (Web)"/>
    <w:basedOn w:val="Standard"/>
    <w:uiPriority w:val="99"/>
    <w:semiHidden/>
    <w:unhideWhenUsed/>
    <w:rsid w:val="00245390"/>
    <w:rPr>
      <w:rFonts w:ascii="Times New Roman" w:hAnsi="Times New Roman" w:cs="Times New Roman"/>
      <w:sz w:val="24"/>
      <w:szCs w:val="24"/>
    </w:rPr>
  </w:style>
  <w:style w:type="character" w:styleId="Link">
    <w:name w:val="Hyperlink"/>
    <w:basedOn w:val="Absatzstandardschriftart"/>
    <w:uiPriority w:val="99"/>
    <w:semiHidden/>
    <w:unhideWhenUsed/>
    <w:rsid w:val="005E40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E3D"/>
    <w:pPr>
      <w:ind w:left="720"/>
      <w:contextualSpacing/>
    </w:pPr>
  </w:style>
  <w:style w:type="character" w:styleId="Kommentarzeichen">
    <w:name w:val="annotation reference"/>
    <w:basedOn w:val="Absatzstandardschriftart"/>
    <w:uiPriority w:val="99"/>
    <w:semiHidden/>
    <w:unhideWhenUsed/>
    <w:rsid w:val="00B1690C"/>
    <w:rPr>
      <w:sz w:val="16"/>
      <w:szCs w:val="16"/>
    </w:rPr>
  </w:style>
  <w:style w:type="paragraph" w:styleId="Kommentartext">
    <w:name w:val="annotation text"/>
    <w:basedOn w:val="Standard"/>
    <w:link w:val="KommentartextZeichen"/>
    <w:uiPriority w:val="99"/>
    <w:semiHidden/>
    <w:unhideWhenUsed/>
    <w:rsid w:val="00B1690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1690C"/>
    <w:rPr>
      <w:sz w:val="20"/>
      <w:szCs w:val="20"/>
    </w:rPr>
  </w:style>
  <w:style w:type="paragraph" w:styleId="Kommentarthema">
    <w:name w:val="annotation subject"/>
    <w:basedOn w:val="Kommentartext"/>
    <w:next w:val="Kommentartext"/>
    <w:link w:val="KommentarthemaZeichen"/>
    <w:uiPriority w:val="99"/>
    <w:semiHidden/>
    <w:unhideWhenUsed/>
    <w:rsid w:val="00B1690C"/>
    <w:rPr>
      <w:b/>
      <w:bCs/>
    </w:rPr>
  </w:style>
  <w:style w:type="character" w:customStyle="1" w:styleId="KommentarthemaZeichen">
    <w:name w:val="Kommentarthema Zeichen"/>
    <w:basedOn w:val="KommentartextZeichen"/>
    <w:link w:val="Kommentarthema"/>
    <w:uiPriority w:val="99"/>
    <w:semiHidden/>
    <w:rsid w:val="00B1690C"/>
    <w:rPr>
      <w:b/>
      <w:bCs/>
      <w:sz w:val="20"/>
      <w:szCs w:val="20"/>
    </w:rPr>
  </w:style>
  <w:style w:type="paragraph" w:styleId="Sprechblasentext">
    <w:name w:val="Balloon Text"/>
    <w:basedOn w:val="Standard"/>
    <w:link w:val="SprechblasentextZeichen"/>
    <w:uiPriority w:val="99"/>
    <w:semiHidden/>
    <w:unhideWhenUsed/>
    <w:rsid w:val="00B1690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1690C"/>
    <w:rPr>
      <w:rFonts w:ascii="Tahoma" w:hAnsi="Tahoma" w:cs="Tahoma"/>
      <w:sz w:val="16"/>
      <w:szCs w:val="16"/>
    </w:rPr>
  </w:style>
  <w:style w:type="paragraph" w:styleId="StandardWeb">
    <w:name w:val="Normal (Web)"/>
    <w:basedOn w:val="Standard"/>
    <w:uiPriority w:val="99"/>
    <w:semiHidden/>
    <w:unhideWhenUsed/>
    <w:rsid w:val="00245390"/>
    <w:rPr>
      <w:rFonts w:ascii="Times New Roman" w:hAnsi="Times New Roman" w:cs="Times New Roman"/>
      <w:sz w:val="24"/>
      <w:szCs w:val="24"/>
    </w:rPr>
  </w:style>
  <w:style w:type="character" w:styleId="Link">
    <w:name w:val="Hyperlink"/>
    <w:basedOn w:val="Absatzstandardschriftart"/>
    <w:uiPriority w:val="99"/>
    <w:semiHidden/>
    <w:unhideWhenUsed/>
    <w:rsid w:val="005E4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2969">
      <w:bodyDiv w:val="1"/>
      <w:marLeft w:val="0"/>
      <w:marRight w:val="0"/>
      <w:marTop w:val="0"/>
      <w:marBottom w:val="0"/>
      <w:divBdr>
        <w:top w:val="none" w:sz="0" w:space="0" w:color="auto"/>
        <w:left w:val="none" w:sz="0" w:space="0" w:color="auto"/>
        <w:bottom w:val="none" w:sz="0" w:space="0" w:color="auto"/>
        <w:right w:val="none" w:sz="0" w:space="0" w:color="auto"/>
      </w:divBdr>
    </w:div>
    <w:div w:id="166599038">
      <w:bodyDiv w:val="1"/>
      <w:marLeft w:val="0"/>
      <w:marRight w:val="0"/>
      <w:marTop w:val="0"/>
      <w:marBottom w:val="0"/>
      <w:divBdr>
        <w:top w:val="none" w:sz="0" w:space="0" w:color="auto"/>
        <w:left w:val="none" w:sz="0" w:space="0" w:color="auto"/>
        <w:bottom w:val="none" w:sz="0" w:space="0" w:color="auto"/>
        <w:right w:val="none" w:sz="0" w:space="0" w:color="auto"/>
      </w:divBdr>
      <w:divsChild>
        <w:div w:id="1329208887">
          <w:marLeft w:val="0"/>
          <w:marRight w:val="0"/>
          <w:marTop w:val="0"/>
          <w:marBottom w:val="0"/>
          <w:divBdr>
            <w:top w:val="none" w:sz="0" w:space="0" w:color="auto"/>
            <w:left w:val="none" w:sz="0" w:space="0" w:color="auto"/>
            <w:bottom w:val="none" w:sz="0" w:space="0" w:color="auto"/>
            <w:right w:val="none" w:sz="0" w:space="0" w:color="auto"/>
          </w:divBdr>
          <w:divsChild>
            <w:div w:id="1122574540">
              <w:marLeft w:val="0"/>
              <w:marRight w:val="0"/>
              <w:marTop w:val="0"/>
              <w:marBottom w:val="0"/>
              <w:divBdr>
                <w:top w:val="none" w:sz="0" w:space="0" w:color="auto"/>
                <w:left w:val="none" w:sz="0" w:space="0" w:color="auto"/>
                <w:bottom w:val="none" w:sz="0" w:space="0" w:color="auto"/>
                <w:right w:val="none" w:sz="0" w:space="0" w:color="auto"/>
              </w:divBdr>
              <w:divsChild>
                <w:div w:id="1154105130">
                  <w:marLeft w:val="0"/>
                  <w:marRight w:val="0"/>
                  <w:marTop w:val="0"/>
                  <w:marBottom w:val="0"/>
                  <w:divBdr>
                    <w:top w:val="none" w:sz="0" w:space="0" w:color="auto"/>
                    <w:left w:val="none" w:sz="0" w:space="0" w:color="auto"/>
                    <w:bottom w:val="none" w:sz="0" w:space="0" w:color="auto"/>
                    <w:right w:val="none" w:sz="0" w:space="0" w:color="auto"/>
                  </w:divBdr>
                  <w:divsChild>
                    <w:div w:id="18984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1751">
      <w:bodyDiv w:val="1"/>
      <w:marLeft w:val="0"/>
      <w:marRight w:val="0"/>
      <w:marTop w:val="0"/>
      <w:marBottom w:val="0"/>
      <w:divBdr>
        <w:top w:val="none" w:sz="0" w:space="0" w:color="auto"/>
        <w:left w:val="none" w:sz="0" w:space="0" w:color="auto"/>
        <w:bottom w:val="none" w:sz="0" w:space="0" w:color="auto"/>
        <w:right w:val="none" w:sz="0" w:space="0" w:color="auto"/>
      </w:divBdr>
    </w:div>
    <w:div w:id="270745660">
      <w:bodyDiv w:val="1"/>
      <w:marLeft w:val="0"/>
      <w:marRight w:val="0"/>
      <w:marTop w:val="0"/>
      <w:marBottom w:val="0"/>
      <w:divBdr>
        <w:top w:val="none" w:sz="0" w:space="0" w:color="auto"/>
        <w:left w:val="none" w:sz="0" w:space="0" w:color="auto"/>
        <w:bottom w:val="none" w:sz="0" w:space="0" w:color="auto"/>
        <w:right w:val="none" w:sz="0" w:space="0" w:color="auto"/>
      </w:divBdr>
    </w:div>
    <w:div w:id="609316615">
      <w:bodyDiv w:val="1"/>
      <w:marLeft w:val="0"/>
      <w:marRight w:val="0"/>
      <w:marTop w:val="0"/>
      <w:marBottom w:val="0"/>
      <w:divBdr>
        <w:top w:val="none" w:sz="0" w:space="0" w:color="auto"/>
        <w:left w:val="none" w:sz="0" w:space="0" w:color="auto"/>
        <w:bottom w:val="none" w:sz="0" w:space="0" w:color="auto"/>
        <w:right w:val="none" w:sz="0" w:space="0" w:color="auto"/>
      </w:divBdr>
    </w:div>
    <w:div w:id="1585723341">
      <w:bodyDiv w:val="1"/>
      <w:marLeft w:val="0"/>
      <w:marRight w:val="0"/>
      <w:marTop w:val="0"/>
      <w:marBottom w:val="0"/>
      <w:divBdr>
        <w:top w:val="none" w:sz="0" w:space="0" w:color="auto"/>
        <w:left w:val="none" w:sz="0" w:space="0" w:color="auto"/>
        <w:bottom w:val="none" w:sz="0" w:space="0" w:color="auto"/>
        <w:right w:val="none" w:sz="0" w:space="0" w:color="auto"/>
      </w:divBdr>
    </w:div>
    <w:div w:id="20295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3.pn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mailto:sophie@ilga-europe.org" TargetMode="External"/><Relationship Id="rId1" Type="http://schemas.openxmlformats.org/officeDocument/2006/relationships/numbering" Target="numbering.xml"/><Relationship Id="rId6" Type="http://schemas.openxmlformats.org/officeDocument/2006/relationships/image" Target="media/image1.jpeg"/><Relationship Id="rId15"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mailto:dan@oiieurope.org" TargetMode="External"/><Relationship Id="rId1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ichard@tg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89E5725AE8827B4BADFF17EBC0EFA667" ma:contentTypeVersion="" ma:contentTypeDescription="Documento Iniciativa Comissão" ma:contentTypeScope="" ma:versionID="7ba3d4055d04276f1cca1302fbda8412">
  <xsd:schema xmlns:xsd="http://www.w3.org/2001/XMLSchema" xmlns:xs="http://www.w3.org/2001/XMLSchema" xmlns:p="http://schemas.microsoft.com/office/2006/metadata/properties" xmlns:ns1="http://schemas.microsoft.com/sharepoint/v3" targetNamespace="http://schemas.microsoft.com/office/2006/metadata/properties" ma:root="true" ma:fieldsID="9a452235b0db47c5e89eb3bad86ee68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CACDLG</SiglaOrgao>
    <DesignacaoTipoIniciativa xmlns="http://schemas.microsoft.com/sharepoint/v3">Proposta de Lei</DesignacaoTipoIniciativa>
    <PublicarInternet xmlns="http://schemas.microsoft.com/sharepoint/v3">true</PublicarInternet>
    <TipoDocumento xmlns="http://schemas.microsoft.com/sharepoint/v3">Pareceres AP</TipoDocumento>
    <Legislatura xmlns="http://schemas.microsoft.com/sharepoint/v3">XIII</Legislatura>
    <DataDocumento xmlns="http://schemas.microsoft.com/sharepoint/v3">2018-04-10T23:00:00+00:00</DataDocumento>
    <TipoIniciativa xmlns="http://schemas.microsoft.com/sharepoint/v3">P</TipoIniciativa>
    <IDFase xmlns="http://schemas.microsoft.com/sharepoint/v3">330599</IDFase>
    <NRIniciativa xmlns="http://schemas.microsoft.com/sharepoint/v3">75</NRIniciativa>
    <IDIniciativa xmlns="http://schemas.microsoft.com/sharepoint/v3">41320</IDIniciativa>
    <NROrgao xmlns="http://schemas.microsoft.com/sharepoint/v3">1</NROrgao>
    <IDOrgao xmlns="http://schemas.microsoft.com/sharepoint/v3">4524</IDOrgao>
  </documentManagement>
</p:properties>
</file>

<file path=customXml/itemProps1.xml><?xml version="1.0" encoding="utf-8"?>
<ds:datastoreItem xmlns:ds="http://schemas.openxmlformats.org/officeDocument/2006/customXml" ds:itemID="{F5B7349E-0273-4017-B092-D6B52E9E8489}"/>
</file>

<file path=customXml/itemProps2.xml><?xml version="1.0" encoding="utf-8"?>
<ds:datastoreItem xmlns:ds="http://schemas.openxmlformats.org/officeDocument/2006/customXml" ds:itemID="{AB91F2C7-5B7E-45C3-86C2-C423F84530A5}"/>
</file>

<file path=customXml/itemProps3.xml><?xml version="1.0" encoding="utf-8"?>
<ds:datastoreItem xmlns:ds="http://schemas.openxmlformats.org/officeDocument/2006/customXml" ds:itemID="{C89D67FC-74BC-432F-9595-BCD929EF58D2}"/>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9114</Characters>
  <Application>Microsoft Macintosh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TGEU - Transgender Europe</dc:title>
  <dc:creator>Sophie Aujean</dc:creator>
  <cp:lastModifiedBy>Richard Köhler</cp:lastModifiedBy>
  <cp:revision>8</cp:revision>
  <dcterms:created xsi:type="dcterms:W3CDTF">2017-10-30T14:22:00Z</dcterms:created>
  <dcterms:modified xsi:type="dcterms:W3CDTF">2018-01-31T17:10:00Z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0x01010035B001969F5945C5A4C19D8C381FDCD50089E5725AE8827B4BADFF17EBC0EFA667</vt:lpwstr>
  </property>
  <property fmtid="{D5CDD505-2E9C-101B-9397-08002B2CF9AE}" pid="3" name="Order">
    <vt:r8>109000</vt:r8>
  </property>
</Properties>
</file>