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EA" w:rsidRDefault="00387AEA" w:rsidP="00387AEA">
      <w:pPr>
        <w:spacing w:line="360" w:lineRule="auto"/>
        <w:jc w:val="center"/>
        <w:rPr>
          <w:rFonts w:ascii="Cambria" w:hAnsi="Cambria"/>
          <w:b/>
          <w:bCs/>
          <w:color w:val="000000"/>
          <w:sz w:val="24"/>
          <w:szCs w:val="24"/>
        </w:rPr>
      </w:pPr>
      <w:r>
        <w:rPr>
          <w:rFonts w:ascii="Cambria" w:hAnsi="Cambria"/>
          <w:b/>
          <w:bCs/>
          <w:color w:val="000000"/>
          <w:sz w:val="24"/>
          <w:szCs w:val="24"/>
        </w:rPr>
        <w:t>PROPOSTA DE LEI N.º 98\XIII</w:t>
      </w:r>
    </w:p>
    <w:p w:rsidR="00387AEA" w:rsidRDefault="00387AEA" w:rsidP="00387AEA">
      <w:pPr>
        <w:spacing w:line="360" w:lineRule="auto"/>
        <w:jc w:val="center"/>
        <w:rPr>
          <w:rFonts w:ascii="Cambria" w:hAnsi="Cambria"/>
          <w:b/>
          <w:bCs/>
          <w:color w:val="000000"/>
          <w:sz w:val="24"/>
          <w:szCs w:val="24"/>
        </w:rPr>
      </w:pPr>
      <w:r>
        <w:rPr>
          <w:rFonts w:ascii="Cambria" w:hAnsi="Cambria"/>
          <w:b/>
          <w:bCs/>
          <w:color w:val="000000"/>
          <w:sz w:val="24"/>
          <w:szCs w:val="24"/>
        </w:rPr>
        <w:t>Altera o regime de atribuição de títulos de utilização do domínio público hídrico, relativamente a situações existentes não-tituladas</w:t>
      </w: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b/>
          <w:bCs/>
          <w:color w:val="000000"/>
          <w:sz w:val="24"/>
          <w:szCs w:val="24"/>
        </w:rPr>
      </w:pPr>
      <w:r>
        <w:rPr>
          <w:rFonts w:ascii="Cambria" w:hAnsi="Cambria"/>
          <w:b/>
          <w:bCs/>
          <w:color w:val="000000"/>
          <w:sz w:val="24"/>
          <w:szCs w:val="24"/>
        </w:rPr>
        <w:t>PROPOSTA DE ALTERAÇÃO DO GRUPO PARLAMENTAR DO PS</w:t>
      </w: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sz w:val="24"/>
          <w:szCs w:val="24"/>
        </w:rPr>
      </w:pPr>
      <w:r>
        <w:rPr>
          <w:rFonts w:ascii="Cambria" w:hAnsi="Cambria"/>
          <w:sz w:val="24"/>
          <w:szCs w:val="24"/>
        </w:rPr>
        <w:t>Artigo 1.º</w:t>
      </w:r>
    </w:p>
    <w:p w:rsidR="00387AEA" w:rsidRDefault="00387AEA" w:rsidP="00387AEA">
      <w:pPr>
        <w:spacing w:line="360" w:lineRule="auto"/>
        <w:jc w:val="center"/>
        <w:rPr>
          <w:rFonts w:ascii="Cambria" w:hAnsi="Cambria"/>
          <w:b/>
          <w:bCs/>
          <w:sz w:val="24"/>
          <w:szCs w:val="24"/>
        </w:rPr>
      </w:pPr>
      <w:r>
        <w:rPr>
          <w:rFonts w:ascii="Cambria" w:hAnsi="Cambria"/>
          <w:b/>
          <w:bCs/>
          <w:sz w:val="24"/>
          <w:szCs w:val="24"/>
        </w:rPr>
        <w:t>[…]</w:t>
      </w:r>
    </w:p>
    <w:p w:rsidR="00387AEA" w:rsidRDefault="00387AEA" w:rsidP="00387AEA">
      <w:pPr>
        <w:spacing w:line="360" w:lineRule="auto"/>
        <w:jc w:val="both"/>
        <w:rPr>
          <w:rFonts w:ascii="Cambria" w:hAnsi="Cambria"/>
          <w:sz w:val="24"/>
          <w:szCs w:val="24"/>
        </w:rPr>
      </w:pPr>
      <w:r>
        <w:rPr>
          <w:rFonts w:ascii="Cambria" w:hAnsi="Cambria"/>
          <w:sz w:val="24"/>
          <w:szCs w:val="24"/>
        </w:rPr>
        <w:t>[…]</w:t>
      </w: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sz w:val="24"/>
          <w:szCs w:val="24"/>
        </w:rPr>
      </w:pPr>
      <w:r>
        <w:rPr>
          <w:rFonts w:ascii="Cambria" w:hAnsi="Cambria"/>
          <w:sz w:val="24"/>
          <w:szCs w:val="24"/>
        </w:rPr>
        <w:t>Artigo 2.º</w:t>
      </w:r>
    </w:p>
    <w:p w:rsidR="00387AEA" w:rsidRDefault="00387AEA" w:rsidP="00387AEA">
      <w:pPr>
        <w:spacing w:line="360" w:lineRule="auto"/>
        <w:jc w:val="center"/>
        <w:rPr>
          <w:rFonts w:ascii="Cambria" w:hAnsi="Cambria"/>
          <w:b/>
          <w:bCs/>
          <w:sz w:val="24"/>
          <w:szCs w:val="24"/>
        </w:rPr>
      </w:pPr>
      <w:r>
        <w:rPr>
          <w:rFonts w:ascii="Cambria" w:hAnsi="Cambria"/>
          <w:b/>
          <w:bCs/>
          <w:sz w:val="24"/>
          <w:szCs w:val="24"/>
        </w:rPr>
        <w:t>[…]</w:t>
      </w:r>
    </w:p>
    <w:p w:rsidR="00387AEA" w:rsidRDefault="00387AEA" w:rsidP="00387AEA">
      <w:pPr>
        <w:spacing w:line="360" w:lineRule="auto"/>
        <w:jc w:val="both"/>
        <w:rPr>
          <w:rFonts w:ascii="Cambria" w:hAnsi="Cambria"/>
          <w:sz w:val="24"/>
          <w:szCs w:val="24"/>
        </w:rPr>
      </w:pPr>
      <w:r>
        <w:rPr>
          <w:rFonts w:ascii="Cambria" w:hAnsi="Cambria"/>
          <w:sz w:val="24"/>
          <w:szCs w:val="24"/>
        </w:rPr>
        <w:t>[…]</w:t>
      </w: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r>
        <w:rPr>
          <w:rFonts w:ascii="Cambria" w:hAnsi="Cambria"/>
          <w:color w:val="000000"/>
          <w:sz w:val="24"/>
          <w:szCs w:val="24"/>
        </w:rPr>
        <w:t>«Artigo 34.º</w:t>
      </w:r>
    </w:p>
    <w:p w:rsidR="00387AEA" w:rsidRDefault="00387AEA" w:rsidP="00387AEA">
      <w:pPr>
        <w:spacing w:line="360" w:lineRule="auto"/>
        <w:jc w:val="both"/>
        <w:rPr>
          <w:rFonts w:ascii="Cambria" w:hAnsi="Cambria"/>
          <w:color w:val="000000"/>
          <w:sz w:val="24"/>
          <w:szCs w:val="24"/>
        </w:rPr>
      </w:pPr>
    </w:p>
    <w:p w:rsidR="00387AEA" w:rsidRDefault="00387AEA" w:rsidP="00387AEA">
      <w:pPr>
        <w:spacing w:line="360" w:lineRule="auto"/>
        <w:jc w:val="center"/>
        <w:rPr>
          <w:rFonts w:ascii="Cambria" w:hAnsi="Cambria"/>
          <w:color w:val="000000"/>
          <w:sz w:val="24"/>
          <w:szCs w:val="24"/>
        </w:rPr>
      </w:pPr>
      <w:r>
        <w:rPr>
          <w:rFonts w:ascii="Cambria" w:hAnsi="Cambria"/>
          <w:color w:val="000000"/>
          <w:sz w:val="24"/>
          <w:szCs w:val="24"/>
        </w:rPr>
        <w:t>[…]</w:t>
      </w:r>
    </w:p>
    <w:p w:rsidR="00387AEA" w:rsidRDefault="00387AEA" w:rsidP="00387AEA">
      <w:pPr>
        <w:numPr>
          <w:ilvl w:val="0"/>
          <w:numId w:val="1"/>
        </w:numPr>
        <w:spacing w:line="360" w:lineRule="auto"/>
        <w:ind w:left="851" w:hanging="284"/>
        <w:jc w:val="both"/>
        <w:rPr>
          <w:rFonts w:ascii="Cambria" w:hAnsi="Cambria"/>
          <w:sz w:val="24"/>
          <w:szCs w:val="24"/>
        </w:rPr>
      </w:pPr>
      <w:r>
        <w:rPr>
          <w:rFonts w:ascii="Cambria" w:hAnsi="Cambria"/>
          <w:sz w:val="24"/>
          <w:szCs w:val="24"/>
        </w:rPr>
        <w:t>[…].</w:t>
      </w:r>
    </w:p>
    <w:p w:rsidR="00387AEA" w:rsidRDefault="00387AEA" w:rsidP="00387AEA">
      <w:pPr>
        <w:numPr>
          <w:ilvl w:val="0"/>
          <w:numId w:val="1"/>
        </w:numPr>
        <w:spacing w:line="360" w:lineRule="auto"/>
        <w:ind w:left="851" w:hanging="284"/>
        <w:jc w:val="both"/>
        <w:rPr>
          <w:rFonts w:ascii="Cambria" w:hAnsi="Cambria"/>
          <w:sz w:val="24"/>
          <w:szCs w:val="24"/>
        </w:rPr>
      </w:pPr>
      <w:r>
        <w:rPr>
          <w:rFonts w:ascii="Cambria" w:hAnsi="Cambria"/>
          <w:sz w:val="24"/>
          <w:szCs w:val="24"/>
        </w:rPr>
        <w:t>[…].</w:t>
      </w:r>
    </w:p>
    <w:p w:rsidR="00387AEA" w:rsidRDefault="00387AEA" w:rsidP="00387AEA">
      <w:pPr>
        <w:numPr>
          <w:ilvl w:val="0"/>
          <w:numId w:val="1"/>
        </w:numPr>
        <w:spacing w:line="360" w:lineRule="auto"/>
        <w:ind w:left="851" w:hanging="284"/>
        <w:jc w:val="both"/>
        <w:rPr>
          <w:rFonts w:ascii="Cambria" w:hAnsi="Cambria"/>
          <w:sz w:val="24"/>
          <w:szCs w:val="24"/>
        </w:rPr>
      </w:pPr>
      <w:r>
        <w:rPr>
          <w:rFonts w:ascii="Cambria" w:hAnsi="Cambria"/>
          <w:sz w:val="24"/>
          <w:szCs w:val="24"/>
        </w:rPr>
        <w:t>[…].</w:t>
      </w:r>
    </w:p>
    <w:p w:rsidR="00387AEA" w:rsidRDefault="00387AEA" w:rsidP="00387AEA">
      <w:pPr>
        <w:numPr>
          <w:ilvl w:val="0"/>
          <w:numId w:val="1"/>
        </w:numPr>
        <w:spacing w:line="360" w:lineRule="auto"/>
        <w:ind w:left="851" w:hanging="284"/>
        <w:jc w:val="both"/>
        <w:rPr>
          <w:rFonts w:ascii="Cambria" w:hAnsi="Cambria"/>
          <w:i/>
          <w:iCs/>
          <w:sz w:val="24"/>
          <w:szCs w:val="24"/>
        </w:rPr>
      </w:pPr>
      <w:r>
        <w:rPr>
          <w:rFonts w:ascii="Cambria" w:hAnsi="Cambria"/>
          <w:sz w:val="24"/>
          <w:szCs w:val="24"/>
        </w:rPr>
        <w:t>[…]:</w:t>
      </w:r>
    </w:p>
    <w:p w:rsidR="00387AEA" w:rsidRDefault="00387AEA" w:rsidP="00387AEA">
      <w:pPr>
        <w:pStyle w:val="PargrafodaLista"/>
        <w:numPr>
          <w:ilvl w:val="1"/>
          <w:numId w:val="2"/>
        </w:numPr>
        <w:spacing w:line="360" w:lineRule="auto"/>
        <w:ind w:left="1418" w:right="561" w:hanging="284"/>
        <w:jc w:val="both"/>
      </w:pPr>
      <w:r>
        <w:t>[…];</w:t>
      </w:r>
    </w:p>
    <w:p w:rsidR="00387AEA" w:rsidRDefault="00387AEA" w:rsidP="00387AEA">
      <w:pPr>
        <w:pStyle w:val="PargrafodaLista"/>
        <w:numPr>
          <w:ilvl w:val="1"/>
          <w:numId w:val="2"/>
        </w:numPr>
        <w:spacing w:line="360" w:lineRule="auto"/>
        <w:ind w:left="1418" w:right="561" w:hanging="284"/>
        <w:jc w:val="both"/>
      </w:pPr>
      <w:r>
        <w:t>[…];</w:t>
      </w:r>
    </w:p>
    <w:p w:rsidR="00387AEA" w:rsidRDefault="00387AEA" w:rsidP="00387AEA">
      <w:pPr>
        <w:pStyle w:val="PargrafodaLista"/>
        <w:numPr>
          <w:ilvl w:val="1"/>
          <w:numId w:val="2"/>
        </w:numPr>
        <w:spacing w:line="360" w:lineRule="auto"/>
        <w:ind w:left="1418" w:right="561" w:hanging="284"/>
        <w:jc w:val="both"/>
      </w:pPr>
      <w:r>
        <w:t>[…];</w:t>
      </w:r>
    </w:p>
    <w:p w:rsidR="00387AEA" w:rsidRDefault="00387AEA" w:rsidP="00387AEA">
      <w:pPr>
        <w:pStyle w:val="PargrafodaLista"/>
        <w:numPr>
          <w:ilvl w:val="1"/>
          <w:numId w:val="2"/>
        </w:numPr>
        <w:spacing w:line="360" w:lineRule="auto"/>
        <w:ind w:left="1418" w:right="561" w:hanging="284"/>
        <w:jc w:val="both"/>
      </w:pPr>
      <w:r>
        <w:rPr>
          <w:color w:val="000000"/>
        </w:rPr>
        <w:t xml:space="preserve">De ocupação do domínio público hídrico nas situações de primeiras habitações em núcleos residenciais piscatórios consolidados que, como tal, sejam reconhecidos por portaria dos membros do Governo responsáveis pelas áreas do ambiente e do </w:t>
      </w:r>
      <w:r>
        <w:rPr>
          <w:color w:val="000000"/>
        </w:rPr>
        <w:lastRenderedPageBreak/>
        <w:t>ordenamento do território, e quando esteja em causa a ocupação do domínio público marítimo, também pelos membros do Governo responsáveis pela defesa nacional e pelo mar</w:t>
      </w:r>
      <w:r>
        <w:t>.</w:t>
      </w:r>
    </w:p>
    <w:p w:rsidR="00387AEA" w:rsidRDefault="00387AEA" w:rsidP="00387AEA">
      <w:pPr>
        <w:numPr>
          <w:ilvl w:val="0"/>
          <w:numId w:val="1"/>
        </w:numPr>
        <w:spacing w:line="360" w:lineRule="auto"/>
        <w:ind w:left="851" w:hanging="284"/>
        <w:jc w:val="both"/>
        <w:rPr>
          <w:rFonts w:ascii="Cambria" w:hAnsi="Cambria"/>
          <w:sz w:val="24"/>
          <w:szCs w:val="24"/>
        </w:rPr>
      </w:pPr>
      <w:r>
        <w:rPr>
          <w:rFonts w:ascii="Cambria" w:hAnsi="Cambria"/>
          <w:sz w:val="24"/>
          <w:szCs w:val="24"/>
        </w:rPr>
        <w:t>[</w:t>
      </w:r>
      <w:r>
        <w:rPr>
          <w:rFonts w:ascii="Cambria" w:hAnsi="Cambria"/>
          <w:i/>
          <w:iCs/>
          <w:sz w:val="24"/>
          <w:szCs w:val="24"/>
        </w:rPr>
        <w:t>…</w:t>
      </w:r>
      <w:r>
        <w:rPr>
          <w:rFonts w:ascii="Cambria" w:hAnsi="Cambria"/>
          <w:sz w:val="24"/>
          <w:szCs w:val="24"/>
        </w:rPr>
        <w:t>]</w:t>
      </w:r>
    </w:p>
    <w:p w:rsidR="00387AEA" w:rsidRDefault="00387AEA" w:rsidP="00387AEA">
      <w:pPr>
        <w:numPr>
          <w:ilvl w:val="0"/>
          <w:numId w:val="1"/>
        </w:numPr>
        <w:spacing w:line="360" w:lineRule="auto"/>
        <w:ind w:left="851" w:hanging="284"/>
        <w:jc w:val="both"/>
        <w:rPr>
          <w:rFonts w:ascii="Cambria" w:hAnsi="Cambria"/>
          <w:sz w:val="24"/>
          <w:szCs w:val="24"/>
        </w:rPr>
      </w:pPr>
      <w:bookmarkStart w:id="0" w:name="_GoBack"/>
      <w:r>
        <w:rPr>
          <w:rFonts w:ascii="Cambria" w:hAnsi="Cambria"/>
          <w:sz w:val="24"/>
          <w:szCs w:val="24"/>
        </w:rPr>
        <w:t>Nos casos previstos na alínea d) do n.º 4:</w:t>
      </w:r>
    </w:p>
    <w:p w:rsidR="00387AEA" w:rsidRDefault="00387AEA" w:rsidP="00387AEA">
      <w:pPr>
        <w:numPr>
          <w:ilvl w:val="1"/>
          <w:numId w:val="1"/>
        </w:numPr>
        <w:spacing w:line="360" w:lineRule="auto"/>
        <w:jc w:val="both"/>
        <w:rPr>
          <w:rFonts w:ascii="Cambria" w:hAnsi="Cambria"/>
          <w:sz w:val="24"/>
          <w:szCs w:val="24"/>
        </w:rPr>
      </w:pPr>
      <w:r>
        <w:rPr>
          <w:rFonts w:ascii="Cambria" w:hAnsi="Cambria"/>
          <w:color w:val="000000"/>
          <w:sz w:val="24"/>
          <w:szCs w:val="24"/>
        </w:rPr>
        <w:t xml:space="preserve">O título é emitido por trinta (30) anos, podendo, findo este período, ser objeto de renovação, </w:t>
      </w:r>
      <w:r>
        <w:rPr>
          <w:rFonts w:ascii="Cambria" w:hAnsi="Cambria"/>
          <w:sz w:val="24"/>
          <w:szCs w:val="24"/>
        </w:rPr>
        <w:t>e</w:t>
      </w:r>
      <w:r>
        <w:rPr>
          <w:rFonts w:ascii="Cambria" w:hAnsi="Cambria"/>
          <w:color w:val="000000"/>
          <w:sz w:val="24"/>
          <w:szCs w:val="24"/>
        </w:rPr>
        <w:t xml:space="preserve"> com observância do procedimento previsto nessa alínea, com as devidas adaptações;</w:t>
      </w:r>
    </w:p>
    <w:p w:rsidR="00387AEA" w:rsidRDefault="00387AEA" w:rsidP="00387AEA">
      <w:pPr>
        <w:numPr>
          <w:ilvl w:val="1"/>
          <w:numId w:val="1"/>
        </w:numPr>
        <w:spacing w:line="360" w:lineRule="auto"/>
        <w:jc w:val="both"/>
        <w:rPr>
          <w:rFonts w:ascii="Cambria" w:hAnsi="Cambria"/>
          <w:sz w:val="24"/>
          <w:szCs w:val="24"/>
        </w:rPr>
      </w:pPr>
      <w:r>
        <w:rPr>
          <w:rFonts w:ascii="Cambria" w:hAnsi="Cambria"/>
          <w:color w:val="000000"/>
          <w:sz w:val="24"/>
          <w:szCs w:val="24"/>
        </w:rPr>
        <w:t>Os títulos são suscetíveis de transmissão a herdeiros desde que se mantenha o carácter de primeira habitação e estes tenham como atividade principal as profissões tradicionais ligadas ao mar</w:t>
      </w:r>
      <w:r>
        <w:rPr>
          <w:rFonts w:ascii="Cambria" w:hAnsi="Cambria"/>
          <w:sz w:val="24"/>
          <w:szCs w:val="24"/>
        </w:rPr>
        <w:t>.»</w:t>
      </w:r>
    </w:p>
    <w:bookmarkEnd w:id="0"/>
    <w:p w:rsidR="00387AEA" w:rsidRDefault="00387AEA" w:rsidP="00387AEA">
      <w:pPr>
        <w:spacing w:line="360" w:lineRule="auto"/>
        <w:jc w:val="center"/>
        <w:rPr>
          <w:rFonts w:ascii="Cambria" w:hAnsi="Cambria"/>
          <w:sz w:val="24"/>
          <w:szCs w:val="24"/>
        </w:rPr>
      </w:pPr>
      <w:r>
        <w:rPr>
          <w:rFonts w:ascii="Cambria" w:hAnsi="Cambria"/>
          <w:color w:val="000000"/>
          <w:sz w:val="24"/>
          <w:szCs w:val="24"/>
        </w:rPr>
        <w:br/>
      </w:r>
      <w:r>
        <w:rPr>
          <w:rFonts w:ascii="Cambria" w:hAnsi="Cambria"/>
          <w:sz w:val="24"/>
          <w:szCs w:val="24"/>
        </w:rPr>
        <w:t>Artigo 3.º</w:t>
      </w:r>
    </w:p>
    <w:p w:rsidR="00387AEA" w:rsidRDefault="00387AEA" w:rsidP="00387AEA">
      <w:pPr>
        <w:spacing w:line="360" w:lineRule="auto"/>
        <w:jc w:val="center"/>
        <w:rPr>
          <w:rFonts w:ascii="Cambria" w:hAnsi="Cambria"/>
          <w:b/>
          <w:bCs/>
          <w:sz w:val="24"/>
          <w:szCs w:val="24"/>
        </w:rPr>
      </w:pPr>
      <w:r>
        <w:rPr>
          <w:rFonts w:ascii="Cambria" w:hAnsi="Cambria"/>
          <w:b/>
          <w:bCs/>
          <w:sz w:val="24"/>
          <w:szCs w:val="24"/>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rPr>
          <w:lang w:val="en-US"/>
        </w:rPr>
      </w:pPr>
      <w:r>
        <w:rPr>
          <w:lang w:val="en-US"/>
        </w:rPr>
        <w:t>[…]</w:t>
      </w:r>
    </w:p>
    <w:p w:rsidR="00387AEA" w:rsidRDefault="00387AEA" w:rsidP="00387AEA">
      <w:pPr>
        <w:pStyle w:val="PargrafodaLista"/>
        <w:numPr>
          <w:ilvl w:val="0"/>
          <w:numId w:val="3"/>
        </w:numPr>
        <w:spacing w:line="360" w:lineRule="auto"/>
        <w:jc w:val="both"/>
      </w:pPr>
      <w:r>
        <w:t>Nos casos em que o título tenha sido emitido ao abrigo da alínea d) do n.º 4 do artigo 34.º do Decreto-Lei n.º 226-A/2007, de 31 de maio, na redação conferida pela presente lei, os serviços competentes podem proceder à verificação da manutenção dos requisitos aí previstos, devendo o respetivo titular comprovar, de 10 em 10 anos, a referida manutenção, na sequência de notificação para o efeito.</w:t>
      </w:r>
    </w:p>
    <w:p w:rsidR="00387AEA" w:rsidRDefault="00387AEA" w:rsidP="00387AEA">
      <w:pPr>
        <w:spacing w:line="360" w:lineRule="auto"/>
        <w:jc w:val="both"/>
        <w:rPr>
          <w:rFonts w:ascii="Cambria" w:hAnsi="Cambria"/>
          <w:color w:val="000000"/>
          <w:sz w:val="24"/>
          <w:szCs w:val="24"/>
        </w:rPr>
      </w:pPr>
    </w:p>
    <w:p w:rsidR="00387AEA" w:rsidRDefault="00387AEA" w:rsidP="00387AEA">
      <w:pPr>
        <w:spacing w:line="360" w:lineRule="auto"/>
        <w:jc w:val="center"/>
        <w:rPr>
          <w:rFonts w:ascii="Cambria" w:hAnsi="Cambria"/>
          <w:sz w:val="24"/>
          <w:szCs w:val="24"/>
        </w:rPr>
      </w:pPr>
      <w:r>
        <w:rPr>
          <w:rFonts w:ascii="Cambria" w:hAnsi="Cambria"/>
          <w:sz w:val="24"/>
          <w:szCs w:val="24"/>
        </w:rPr>
        <w:t>Artigo 4.º</w:t>
      </w:r>
    </w:p>
    <w:p w:rsidR="00387AEA" w:rsidRDefault="00387AEA" w:rsidP="00387AEA">
      <w:pPr>
        <w:spacing w:line="360" w:lineRule="auto"/>
        <w:jc w:val="center"/>
        <w:rPr>
          <w:rFonts w:ascii="Cambria" w:hAnsi="Cambria"/>
          <w:b/>
          <w:bCs/>
          <w:sz w:val="24"/>
          <w:szCs w:val="24"/>
        </w:rPr>
      </w:pPr>
      <w:r>
        <w:rPr>
          <w:rFonts w:ascii="Cambria" w:hAnsi="Cambria"/>
          <w:b/>
          <w:bCs/>
          <w:sz w:val="24"/>
          <w:szCs w:val="24"/>
        </w:rPr>
        <w:t>[…]</w:t>
      </w:r>
    </w:p>
    <w:p w:rsidR="00387AEA" w:rsidRDefault="00387AEA" w:rsidP="00387AEA">
      <w:pPr>
        <w:spacing w:after="240"/>
        <w:rPr>
          <w:color w:val="1F497D"/>
        </w:rPr>
      </w:pPr>
      <w:r>
        <w:rPr>
          <w:rFonts w:ascii="Cambria" w:hAnsi="Cambria"/>
          <w:sz w:val="24"/>
          <w:szCs w:val="24"/>
        </w:rPr>
        <w:t>[…]</w:t>
      </w:r>
    </w:p>
    <w:p w:rsidR="00387AEA" w:rsidRDefault="00387AEA" w:rsidP="00387AEA">
      <w:pPr>
        <w:rPr>
          <w:color w:val="1F497D"/>
        </w:rPr>
      </w:pPr>
    </w:p>
    <w:p w:rsidR="0018566E" w:rsidRDefault="0018566E"/>
    <w:sectPr w:rsidR="00185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75D"/>
    <w:multiLevelType w:val="hybridMultilevel"/>
    <w:tmpl w:val="7B7470A4"/>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 w15:restartNumberingAfterBreak="0">
    <w:nsid w:val="4A9C143E"/>
    <w:multiLevelType w:val="hybridMultilevel"/>
    <w:tmpl w:val="97C4BDD6"/>
    <w:lvl w:ilvl="0" w:tplc="A37676C2">
      <w:start w:val="1"/>
      <w:numFmt w:val="decimal"/>
      <w:lvlText w:val="%1 -"/>
      <w:lvlJc w:val="center"/>
      <w:pPr>
        <w:ind w:left="6314" w:hanging="360"/>
      </w:pPr>
      <w:rPr>
        <w:i w:val="0"/>
      </w:rPr>
    </w:lvl>
    <w:lvl w:ilvl="1" w:tplc="140ED0E2">
      <w:start w:val="1"/>
      <w:numFmt w:val="lowerLetter"/>
      <w:lvlText w:val="%2)"/>
      <w:lvlJc w:val="left"/>
      <w:pPr>
        <w:ind w:left="1440" w:hanging="360"/>
      </w:pPr>
      <w:rPr>
        <w:i/>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15:restartNumberingAfterBreak="0">
    <w:nsid w:val="563861CB"/>
    <w:multiLevelType w:val="hybridMultilevel"/>
    <w:tmpl w:val="A07C6080"/>
    <w:lvl w:ilvl="0" w:tplc="08160017">
      <w:start w:val="1"/>
      <w:numFmt w:val="lowerLetter"/>
      <w:lvlText w:val="%1)"/>
      <w:lvlJc w:val="left"/>
      <w:pPr>
        <w:ind w:left="1440" w:hanging="360"/>
      </w:pPr>
    </w:lvl>
    <w:lvl w:ilvl="1" w:tplc="9586CB0A">
      <w:start w:val="1"/>
      <w:numFmt w:val="lowerLetter"/>
      <w:lvlText w:val="%2)"/>
      <w:lvlJc w:val="left"/>
      <w:pPr>
        <w:ind w:left="1353" w:hanging="360"/>
      </w:pPr>
      <w:rPr>
        <w:i/>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A"/>
    <w:rsid w:val="0018566E"/>
    <w:rsid w:val="00387AEA"/>
    <w:rsid w:val="00641F65"/>
    <w:rsid w:val="00CA54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B317-51C0-4C3A-871A-76735F62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EA"/>
    <w:pPr>
      <w:spacing w:after="0" w:line="240" w:lineRule="auto"/>
    </w:pPr>
    <w:rPr>
      <w:rFonts w:ascii="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7AEA"/>
    <w:pPr>
      <w:ind w:left="720"/>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Proposta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2018-01-17T00:00:00+00:00</DataDocumento>
    <TipoIniciativa xmlns="http://schemas.microsoft.com/sharepoint/v3">P</TipoIniciativa>
    <IDFase xmlns="http://schemas.microsoft.com/sharepoint/v3">331269</IDFase>
    <NRIniciativa xmlns="http://schemas.microsoft.com/sharepoint/v3">98</NRIniciativa>
    <IDIniciativa xmlns="http://schemas.microsoft.com/sharepoint/v3">41725</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C8310140-769E-4E41-A9C2-323406955018}"/>
</file>

<file path=customXml/itemProps2.xml><?xml version="1.0" encoding="utf-8"?>
<ds:datastoreItem xmlns:ds="http://schemas.openxmlformats.org/officeDocument/2006/customXml" ds:itemID="{739C0A3B-2931-4123-8D0A-1907386C9A9A}"/>
</file>

<file path=customXml/itemProps3.xml><?xml version="1.0" encoding="utf-8"?>
<ds:datastoreItem xmlns:ds="http://schemas.openxmlformats.org/officeDocument/2006/customXml" ds:itemID="{8864B425-ACD9-48E8-B828-172E4C41179F}"/>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alteração - PS</dc:title>
  <dc:subject/>
  <dc:creator>Isabel Gonçalves</dc:creator>
  <cp:keywords/>
  <dc:description/>
  <cp:lastModifiedBy>Isabel Gonçalves</cp:lastModifiedBy>
  <cp:revision>3</cp:revision>
  <dcterms:created xsi:type="dcterms:W3CDTF">2018-01-08T17:06:00Z</dcterms:created>
  <dcterms:modified xsi:type="dcterms:W3CDTF">2018-01-08T17:23:00Z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49200</vt:r8>
  </property>
</Properties>
</file>