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76" w:rsidRDefault="00A32476" w:rsidP="00A32476">
      <w:pPr>
        <w:pStyle w:val="NormalWeb"/>
        <w:ind w:left="0"/>
        <w:jc w:val="center"/>
        <w:rPr>
          <w:rStyle w:val="nfase"/>
          <w:rFonts w:asciiTheme="majorHAnsi" w:hAnsiTheme="majorHAnsi"/>
          <w:b/>
          <w:i w:val="0"/>
          <w:sz w:val="22"/>
          <w:szCs w:val="22"/>
        </w:rPr>
      </w:pPr>
      <w:r>
        <w:rPr>
          <w:rStyle w:val="nfase"/>
          <w:rFonts w:asciiTheme="majorHAnsi" w:hAnsiTheme="majorHAnsi"/>
          <w:b/>
          <w:i w:val="0"/>
          <w:sz w:val="22"/>
          <w:szCs w:val="22"/>
        </w:rPr>
        <w:t>NOTA INFORMATIVA</w:t>
      </w:r>
    </w:p>
    <w:p w:rsidR="0065215E" w:rsidRPr="00A95CF5" w:rsidRDefault="0065215E" w:rsidP="0065215E">
      <w:pPr>
        <w:pStyle w:val="NormalWeb"/>
        <w:ind w:left="0"/>
        <w:rPr>
          <w:rStyle w:val="nfase"/>
          <w:rFonts w:asciiTheme="majorHAnsi" w:hAnsiTheme="majorHAnsi"/>
          <w:b/>
          <w:i w:val="0"/>
          <w:sz w:val="22"/>
          <w:szCs w:val="22"/>
        </w:rPr>
      </w:pPr>
      <w:r w:rsidRPr="00A95CF5">
        <w:rPr>
          <w:rStyle w:val="nfase"/>
          <w:rFonts w:asciiTheme="majorHAnsi" w:hAnsiTheme="majorHAnsi"/>
          <w:b/>
          <w:i w:val="0"/>
          <w:sz w:val="22"/>
          <w:szCs w:val="22"/>
        </w:rPr>
        <w:t>A)</w:t>
      </w:r>
      <w:r w:rsidRPr="00A95CF5">
        <w:rPr>
          <w:rStyle w:val="nfase"/>
          <w:rFonts w:asciiTheme="majorHAnsi" w:hAnsiTheme="majorHAnsi"/>
          <w:b/>
          <w:i w:val="0"/>
          <w:sz w:val="22"/>
          <w:szCs w:val="22"/>
        </w:rPr>
        <w:tab/>
        <w:t>Enquadramento</w:t>
      </w:r>
      <w:r w:rsidR="00E65D24" w:rsidRPr="00A95CF5">
        <w:rPr>
          <w:rStyle w:val="nfase"/>
          <w:rFonts w:asciiTheme="majorHAnsi" w:hAnsiTheme="majorHAnsi"/>
          <w:b/>
          <w:i w:val="0"/>
          <w:sz w:val="22"/>
          <w:szCs w:val="22"/>
        </w:rPr>
        <w:t>: COP 22</w:t>
      </w:r>
      <w:r w:rsidR="00C047BA" w:rsidRPr="00A95CF5">
        <w:rPr>
          <w:rStyle w:val="nfase"/>
          <w:rFonts w:asciiTheme="majorHAnsi" w:hAnsiTheme="majorHAnsi"/>
          <w:b/>
          <w:i w:val="0"/>
          <w:sz w:val="22"/>
          <w:szCs w:val="22"/>
        </w:rPr>
        <w:t>, CMP 12</w:t>
      </w:r>
      <w:r w:rsidR="00E65D24" w:rsidRPr="00A95CF5">
        <w:rPr>
          <w:rStyle w:val="nfase"/>
          <w:rFonts w:asciiTheme="majorHAnsi" w:hAnsiTheme="majorHAnsi"/>
          <w:b/>
          <w:i w:val="0"/>
          <w:sz w:val="22"/>
          <w:szCs w:val="22"/>
        </w:rPr>
        <w:t xml:space="preserve"> </w:t>
      </w:r>
      <w:r w:rsidR="00C047BA" w:rsidRPr="00A95CF5">
        <w:rPr>
          <w:rStyle w:val="nfase"/>
          <w:rFonts w:asciiTheme="majorHAnsi" w:hAnsiTheme="majorHAnsi"/>
          <w:b/>
          <w:i w:val="0"/>
          <w:sz w:val="22"/>
          <w:szCs w:val="22"/>
        </w:rPr>
        <w:t>e CMA 1</w:t>
      </w:r>
      <w:r w:rsidR="00C047BA" w:rsidRPr="00A95CF5">
        <w:rPr>
          <w:rStyle w:val="Refdenotaderodap"/>
          <w:rFonts w:asciiTheme="majorHAnsi" w:hAnsiTheme="majorHAnsi"/>
          <w:b/>
          <w:iCs/>
          <w:sz w:val="22"/>
          <w:szCs w:val="22"/>
        </w:rPr>
        <w:footnoteReference w:id="1"/>
      </w:r>
    </w:p>
    <w:p w:rsidR="0065215E" w:rsidRPr="00A95CF5" w:rsidRDefault="0065215E" w:rsidP="0065215E">
      <w:pPr>
        <w:tabs>
          <w:tab w:val="left" w:pos="4678"/>
          <w:tab w:val="left" w:pos="6237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26011C" w:rsidRPr="00A95CF5" w:rsidRDefault="000634ED" w:rsidP="0065215E">
      <w:pPr>
        <w:tabs>
          <w:tab w:val="left" w:pos="4678"/>
          <w:tab w:val="left" w:pos="6237"/>
        </w:tabs>
        <w:jc w:val="both"/>
        <w:rPr>
          <w:rFonts w:asciiTheme="majorHAnsi" w:hAnsiTheme="majorHAnsi"/>
          <w:bCs/>
          <w:sz w:val="22"/>
          <w:szCs w:val="22"/>
        </w:rPr>
      </w:pPr>
      <w:proofErr w:type="gramStart"/>
      <w:r w:rsidRPr="00A95CF5">
        <w:rPr>
          <w:rFonts w:asciiTheme="majorHAnsi" w:hAnsiTheme="majorHAnsi"/>
          <w:bCs/>
          <w:sz w:val="22"/>
          <w:szCs w:val="22"/>
        </w:rPr>
        <w:t xml:space="preserve">A </w:t>
      </w:r>
      <w:r w:rsidR="0065215E" w:rsidRPr="00A95CF5">
        <w:rPr>
          <w:rFonts w:asciiTheme="majorHAnsi" w:hAnsiTheme="majorHAnsi"/>
          <w:bCs/>
          <w:sz w:val="22"/>
          <w:szCs w:val="22"/>
        </w:rPr>
        <w:t>COP</w:t>
      </w:r>
      <w:proofErr w:type="gramEnd"/>
      <w:r w:rsidR="0065215E" w:rsidRPr="00A95CF5">
        <w:rPr>
          <w:rFonts w:asciiTheme="majorHAnsi" w:hAnsiTheme="majorHAnsi"/>
          <w:bCs/>
          <w:sz w:val="22"/>
          <w:szCs w:val="22"/>
        </w:rPr>
        <w:t xml:space="preserve"> 22 ou </w:t>
      </w:r>
      <w:r w:rsidRPr="00A95CF5">
        <w:rPr>
          <w:rFonts w:asciiTheme="majorHAnsi" w:hAnsiTheme="majorHAnsi"/>
          <w:bCs/>
          <w:sz w:val="22"/>
          <w:szCs w:val="22"/>
        </w:rPr>
        <w:t>22ª Conf</w:t>
      </w:r>
      <w:r w:rsidR="00AA7AF5" w:rsidRPr="00A95CF5">
        <w:rPr>
          <w:rFonts w:asciiTheme="majorHAnsi" w:hAnsiTheme="majorHAnsi"/>
          <w:bCs/>
          <w:sz w:val="22"/>
          <w:szCs w:val="22"/>
        </w:rPr>
        <w:t>erência das Partes da Convenção</w:t>
      </w:r>
      <w:r w:rsidRPr="00A95CF5">
        <w:rPr>
          <w:rFonts w:asciiTheme="majorHAnsi" w:hAnsiTheme="majorHAnsi"/>
          <w:bCs/>
          <w:sz w:val="22"/>
          <w:szCs w:val="22"/>
        </w:rPr>
        <w:t xml:space="preserve"> </w:t>
      </w:r>
      <w:r w:rsidR="0026011C" w:rsidRPr="00A95CF5">
        <w:rPr>
          <w:rFonts w:asciiTheme="majorHAnsi" w:hAnsiTheme="majorHAnsi"/>
          <w:bCs/>
          <w:sz w:val="22"/>
          <w:szCs w:val="22"/>
        </w:rPr>
        <w:t>é</w:t>
      </w:r>
      <w:r w:rsidR="00C047BA" w:rsidRPr="00A95CF5">
        <w:rPr>
          <w:rFonts w:asciiTheme="majorHAnsi" w:hAnsiTheme="majorHAnsi"/>
          <w:bCs/>
          <w:sz w:val="22"/>
          <w:szCs w:val="22"/>
        </w:rPr>
        <w:t>, para além da reunião anual das Partes da Convenção e do Protocolo de Quioto,</w:t>
      </w:r>
      <w:r w:rsidR="0026011C" w:rsidRPr="00A95CF5">
        <w:rPr>
          <w:rFonts w:asciiTheme="majorHAnsi" w:hAnsiTheme="majorHAnsi"/>
          <w:bCs/>
          <w:sz w:val="22"/>
          <w:szCs w:val="22"/>
        </w:rPr>
        <w:t xml:space="preserve"> a primeira sessão </w:t>
      </w:r>
      <w:r w:rsidR="0065215E" w:rsidRPr="00A95CF5">
        <w:rPr>
          <w:rFonts w:asciiTheme="majorHAnsi" w:hAnsiTheme="majorHAnsi"/>
          <w:bCs/>
          <w:sz w:val="22"/>
          <w:szCs w:val="22"/>
        </w:rPr>
        <w:t xml:space="preserve">de </w:t>
      </w:r>
      <w:r w:rsidR="00BE53B2" w:rsidRPr="00A95CF5">
        <w:rPr>
          <w:rFonts w:asciiTheme="majorHAnsi" w:hAnsiTheme="majorHAnsi"/>
          <w:bCs/>
          <w:sz w:val="22"/>
          <w:szCs w:val="22"/>
        </w:rPr>
        <w:t xml:space="preserve">reunião </w:t>
      </w:r>
      <w:r w:rsidR="0065215E" w:rsidRPr="00A95CF5">
        <w:rPr>
          <w:rFonts w:asciiTheme="majorHAnsi" w:hAnsiTheme="majorHAnsi"/>
          <w:bCs/>
          <w:sz w:val="22"/>
          <w:szCs w:val="22"/>
        </w:rPr>
        <w:t xml:space="preserve">de </w:t>
      </w:r>
      <w:r w:rsidR="00BE53B2" w:rsidRPr="00A95CF5">
        <w:rPr>
          <w:rFonts w:asciiTheme="majorHAnsi" w:hAnsiTheme="majorHAnsi"/>
          <w:bCs/>
          <w:sz w:val="22"/>
          <w:szCs w:val="22"/>
        </w:rPr>
        <w:t xml:space="preserve">partes </w:t>
      </w:r>
      <w:r w:rsidR="0026011C" w:rsidRPr="00A95CF5">
        <w:rPr>
          <w:rFonts w:asciiTheme="majorHAnsi" w:hAnsiTheme="majorHAnsi"/>
          <w:bCs/>
          <w:sz w:val="22"/>
          <w:szCs w:val="22"/>
        </w:rPr>
        <w:t xml:space="preserve">no âmbito do </w:t>
      </w:r>
      <w:hyperlink r:id="rId8" w:history="1">
        <w:r w:rsidR="0026011C" w:rsidRPr="00A95CF5">
          <w:rPr>
            <w:rStyle w:val="Hiperligao"/>
            <w:rFonts w:asciiTheme="majorHAnsi" w:hAnsiTheme="majorHAnsi"/>
            <w:bCs/>
            <w:sz w:val="22"/>
            <w:szCs w:val="22"/>
          </w:rPr>
          <w:t>Acordo de Paris</w:t>
        </w:r>
      </w:hyperlink>
      <w:r w:rsidR="0026011C" w:rsidRPr="00A95CF5">
        <w:rPr>
          <w:rFonts w:asciiTheme="majorHAnsi" w:hAnsiTheme="majorHAnsi"/>
          <w:bCs/>
          <w:sz w:val="22"/>
          <w:szCs w:val="22"/>
        </w:rPr>
        <w:t>, que entrou em vigor no dia 4 de novembro</w:t>
      </w:r>
      <w:r w:rsidR="0065215E" w:rsidRPr="00A95CF5">
        <w:rPr>
          <w:rFonts w:asciiTheme="majorHAnsi" w:hAnsiTheme="majorHAnsi"/>
          <w:bCs/>
          <w:sz w:val="22"/>
          <w:szCs w:val="22"/>
        </w:rPr>
        <w:t xml:space="preserve"> de 2016</w:t>
      </w:r>
      <w:r w:rsidR="00E65D24" w:rsidRPr="00A95CF5">
        <w:rPr>
          <w:rStyle w:val="Refdenotaderodap"/>
          <w:rFonts w:asciiTheme="majorHAnsi" w:hAnsiTheme="majorHAnsi"/>
          <w:bCs/>
          <w:sz w:val="22"/>
          <w:szCs w:val="22"/>
        </w:rPr>
        <w:footnoteReference w:id="2"/>
      </w:r>
      <w:r w:rsidR="0026011C" w:rsidRPr="00A95CF5">
        <w:rPr>
          <w:rFonts w:asciiTheme="majorHAnsi" w:hAnsiTheme="majorHAnsi"/>
          <w:bCs/>
          <w:sz w:val="22"/>
          <w:szCs w:val="22"/>
        </w:rPr>
        <w:t>.</w:t>
      </w:r>
    </w:p>
    <w:p w:rsidR="00AA7AF5" w:rsidRPr="00A95CF5" w:rsidRDefault="00AA7AF5" w:rsidP="0065215E">
      <w:pPr>
        <w:tabs>
          <w:tab w:val="left" w:pos="4678"/>
          <w:tab w:val="left" w:pos="6237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097859" w:rsidRPr="00A95CF5" w:rsidRDefault="000E2495" w:rsidP="0065215E">
      <w:pPr>
        <w:tabs>
          <w:tab w:val="left" w:pos="4678"/>
          <w:tab w:val="left" w:pos="6237"/>
        </w:tabs>
        <w:jc w:val="both"/>
        <w:rPr>
          <w:rFonts w:asciiTheme="majorHAnsi" w:hAnsiTheme="majorHAnsi"/>
          <w:sz w:val="22"/>
          <w:szCs w:val="22"/>
        </w:rPr>
      </w:pPr>
      <w:r w:rsidRPr="00A95CF5">
        <w:rPr>
          <w:rFonts w:asciiTheme="majorHAnsi" w:hAnsiTheme="majorHAnsi"/>
          <w:bCs/>
          <w:sz w:val="22"/>
          <w:szCs w:val="22"/>
        </w:rPr>
        <w:t xml:space="preserve">O </w:t>
      </w:r>
      <w:r w:rsidR="00E65D24" w:rsidRPr="00A95CF5">
        <w:rPr>
          <w:rFonts w:asciiTheme="majorHAnsi" w:hAnsiTheme="majorHAnsi"/>
          <w:bCs/>
          <w:sz w:val="22"/>
          <w:szCs w:val="22"/>
        </w:rPr>
        <w:t xml:space="preserve">Acordo de Paris, </w:t>
      </w:r>
      <w:r w:rsidR="0065215E" w:rsidRPr="00A95CF5">
        <w:rPr>
          <w:rFonts w:asciiTheme="majorHAnsi" w:hAnsiTheme="majorHAnsi"/>
          <w:bCs/>
          <w:sz w:val="22"/>
          <w:szCs w:val="22"/>
        </w:rPr>
        <w:t>celebrado entre as Partes da Convenção</w:t>
      </w:r>
      <w:r w:rsidR="00E65D24" w:rsidRPr="00A95CF5">
        <w:rPr>
          <w:rFonts w:asciiTheme="majorHAnsi" w:hAnsiTheme="majorHAnsi"/>
          <w:bCs/>
          <w:sz w:val="22"/>
          <w:szCs w:val="22"/>
        </w:rPr>
        <w:t xml:space="preserve"> e na presente data ratificado por mais de 100 países</w:t>
      </w:r>
      <w:r w:rsidR="00E65D24" w:rsidRPr="00A95CF5">
        <w:rPr>
          <w:rStyle w:val="Refdenotaderodap"/>
          <w:rFonts w:asciiTheme="majorHAnsi" w:hAnsiTheme="majorHAnsi"/>
          <w:bCs/>
          <w:sz w:val="22"/>
          <w:szCs w:val="22"/>
        </w:rPr>
        <w:footnoteReference w:id="3"/>
      </w:r>
      <w:r w:rsidR="00E65D24" w:rsidRPr="00A95CF5">
        <w:rPr>
          <w:rFonts w:asciiTheme="majorHAnsi" w:hAnsiTheme="majorHAnsi"/>
          <w:bCs/>
          <w:sz w:val="22"/>
          <w:szCs w:val="22"/>
        </w:rPr>
        <w:t xml:space="preserve">, </w:t>
      </w:r>
      <w:r w:rsidR="0065215E" w:rsidRPr="00A95CF5">
        <w:rPr>
          <w:rFonts w:asciiTheme="majorHAnsi" w:hAnsiTheme="majorHAnsi"/>
          <w:bCs/>
          <w:sz w:val="22"/>
          <w:szCs w:val="22"/>
        </w:rPr>
        <w:t xml:space="preserve">procura </w:t>
      </w:r>
      <w:r w:rsidR="00097859" w:rsidRPr="00A95CF5">
        <w:rPr>
          <w:rFonts w:asciiTheme="majorHAnsi" w:hAnsiTheme="majorHAnsi"/>
          <w:bCs/>
          <w:sz w:val="22"/>
          <w:szCs w:val="22"/>
        </w:rPr>
        <w:t>reforçar a implementação</w:t>
      </w:r>
      <w:r w:rsidR="00E65D24" w:rsidRPr="00A95CF5">
        <w:rPr>
          <w:rFonts w:asciiTheme="majorHAnsi" w:hAnsiTheme="majorHAnsi"/>
          <w:bCs/>
          <w:sz w:val="22"/>
          <w:szCs w:val="22"/>
        </w:rPr>
        <w:t xml:space="preserve"> da Convenção</w:t>
      </w:r>
      <w:r w:rsidR="00097859" w:rsidRPr="00A95CF5">
        <w:rPr>
          <w:rFonts w:asciiTheme="majorHAnsi" w:hAnsiTheme="majorHAnsi"/>
          <w:sz w:val="22"/>
          <w:szCs w:val="22"/>
        </w:rPr>
        <w:t>, incluindo o seu objetivo</w:t>
      </w:r>
      <w:r w:rsidR="00E65D24" w:rsidRPr="00A95CF5">
        <w:rPr>
          <w:rStyle w:val="Refdenotaderodap"/>
          <w:rFonts w:asciiTheme="majorHAnsi" w:hAnsiTheme="majorHAnsi"/>
          <w:sz w:val="22"/>
          <w:szCs w:val="22"/>
        </w:rPr>
        <w:footnoteReference w:id="4"/>
      </w:r>
      <w:r w:rsidR="00097859" w:rsidRPr="00A95CF5">
        <w:rPr>
          <w:rFonts w:asciiTheme="majorHAnsi" w:hAnsiTheme="majorHAnsi"/>
          <w:sz w:val="22"/>
          <w:szCs w:val="22"/>
        </w:rPr>
        <w:t xml:space="preserve">, </w:t>
      </w:r>
      <w:r w:rsidR="00162612">
        <w:rPr>
          <w:rFonts w:asciiTheme="majorHAnsi" w:hAnsiTheme="majorHAnsi"/>
          <w:sz w:val="22"/>
          <w:szCs w:val="22"/>
        </w:rPr>
        <w:t xml:space="preserve">assim como </w:t>
      </w:r>
      <w:r w:rsidR="00097859" w:rsidRPr="00A95CF5">
        <w:rPr>
          <w:rFonts w:asciiTheme="majorHAnsi" w:hAnsiTheme="majorHAnsi"/>
          <w:sz w:val="22"/>
          <w:szCs w:val="22"/>
        </w:rPr>
        <w:t>fortalecer a resposta global à ameaça das alterações climáticas no contexto do desenvolvimento sustentável e dos esforços para a erradicação da pobreza, designadamente, através:</w:t>
      </w:r>
    </w:p>
    <w:p w:rsidR="00097859" w:rsidRPr="00A95CF5" w:rsidRDefault="00097859" w:rsidP="0065215E">
      <w:pPr>
        <w:tabs>
          <w:tab w:val="left" w:pos="4678"/>
          <w:tab w:val="left" w:pos="6237"/>
        </w:tabs>
        <w:jc w:val="both"/>
        <w:rPr>
          <w:rFonts w:asciiTheme="majorHAnsi" w:hAnsiTheme="majorHAnsi"/>
          <w:sz w:val="22"/>
          <w:szCs w:val="22"/>
        </w:rPr>
      </w:pPr>
    </w:p>
    <w:p w:rsidR="0065215E" w:rsidRPr="00A95CF5" w:rsidRDefault="00097859" w:rsidP="00464AFC">
      <w:pPr>
        <w:pStyle w:val="PargrafodaLista"/>
        <w:numPr>
          <w:ilvl w:val="0"/>
          <w:numId w:val="2"/>
        </w:numPr>
        <w:tabs>
          <w:tab w:val="left" w:pos="4678"/>
          <w:tab w:val="left" w:pos="6237"/>
        </w:tabs>
        <w:ind w:left="567" w:hanging="567"/>
        <w:jc w:val="both"/>
        <w:rPr>
          <w:rFonts w:asciiTheme="majorHAnsi" w:hAnsiTheme="majorHAnsi"/>
          <w:bCs/>
        </w:rPr>
      </w:pPr>
      <w:r w:rsidRPr="00A95CF5">
        <w:rPr>
          <w:rFonts w:asciiTheme="majorHAnsi" w:hAnsiTheme="majorHAnsi"/>
        </w:rPr>
        <w:t>Da manutenção do aumento da temperatura média global a níveis bem abaixo dos 2ºC acima dos níveis pré-industriais, reconhecendo que isso reduzirá significativamente os riscos e impactos das alterações climáticas;</w:t>
      </w:r>
    </w:p>
    <w:p w:rsidR="00097859" w:rsidRPr="00A95CF5" w:rsidRDefault="00097859" w:rsidP="00464AFC">
      <w:pPr>
        <w:pStyle w:val="PargrafodaLista"/>
        <w:numPr>
          <w:ilvl w:val="0"/>
          <w:numId w:val="2"/>
        </w:numPr>
        <w:tabs>
          <w:tab w:val="left" w:pos="4678"/>
          <w:tab w:val="left" w:pos="6237"/>
        </w:tabs>
        <w:ind w:left="567" w:hanging="567"/>
        <w:jc w:val="both"/>
        <w:rPr>
          <w:rFonts w:asciiTheme="majorHAnsi" w:hAnsiTheme="majorHAnsi"/>
          <w:bCs/>
        </w:rPr>
      </w:pPr>
      <w:r w:rsidRPr="00A95CF5">
        <w:rPr>
          <w:rFonts w:asciiTheme="majorHAnsi" w:hAnsiTheme="majorHAnsi"/>
          <w:bCs/>
        </w:rPr>
        <w:t>Do aumento da capacidade de adaptação aos impactos adversos das alterações climáticas e de promoção da resiliência às alterações climáticas bem como de um modelo de desenvolvimento com reduzidas emissões de gases com efeito de estufa, de modo a que não ameace a produção de alimentos;</w:t>
      </w:r>
    </w:p>
    <w:p w:rsidR="00097859" w:rsidRPr="00A95CF5" w:rsidRDefault="00097859" w:rsidP="00464AFC">
      <w:pPr>
        <w:pStyle w:val="PargrafodaLista"/>
        <w:numPr>
          <w:ilvl w:val="0"/>
          <w:numId w:val="2"/>
        </w:numPr>
        <w:tabs>
          <w:tab w:val="left" w:pos="4678"/>
          <w:tab w:val="left" w:pos="6237"/>
        </w:tabs>
        <w:ind w:left="567" w:hanging="567"/>
        <w:jc w:val="both"/>
        <w:rPr>
          <w:rFonts w:asciiTheme="majorHAnsi" w:hAnsiTheme="majorHAnsi"/>
          <w:bCs/>
        </w:rPr>
      </w:pPr>
      <w:r w:rsidRPr="00A95CF5">
        <w:rPr>
          <w:rFonts w:asciiTheme="majorHAnsi" w:hAnsiTheme="majorHAnsi"/>
          <w:bCs/>
        </w:rPr>
        <w:t>De fluxos financeiros consistentes com uma trajetória de desenvolvimento resiliente e de reduzidas emissões de gases com efeito de estufa.</w:t>
      </w:r>
    </w:p>
    <w:p w:rsidR="00E65D24" w:rsidRPr="00A95CF5" w:rsidRDefault="00E65D24" w:rsidP="00E65D24">
      <w:pPr>
        <w:pStyle w:val="NormalWeb"/>
        <w:ind w:left="0"/>
        <w:rPr>
          <w:rStyle w:val="nfase"/>
          <w:rFonts w:asciiTheme="majorHAnsi" w:hAnsiTheme="majorHAnsi"/>
          <w:b/>
          <w:i w:val="0"/>
          <w:sz w:val="22"/>
          <w:szCs w:val="22"/>
        </w:rPr>
      </w:pPr>
      <w:r w:rsidRPr="00A95CF5">
        <w:rPr>
          <w:rStyle w:val="nfase"/>
          <w:rFonts w:asciiTheme="majorHAnsi" w:hAnsiTheme="majorHAnsi"/>
          <w:b/>
          <w:i w:val="0"/>
          <w:sz w:val="22"/>
          <w:szCs w:val="22"/>
        </w:rPr>
        <w:t>B)</w:t>
      </w:r>
      <w:r w:rsidRPr="00A95CF5">
        <w:rPr>
          <w:rStyle w:val="nfase"/>
          <w:rFonts w:asciiTheme="majorHAnsi" w:hAnsiTheme="majorHAnsi"/>
          <w:b/>
          <w:i w:val="0"/>
          <w:sz w:val="22"/>
          <w:szCs w:val="22"/>
        </w:rPr>
        <w:tab/>
      </w:r>
      <w:r w:rsidR="009B5D83" w:rsidRPr="00A95CF5">
        <w:rPr>
          <w:rStyle w:val="nfase"/>
          <w:rFonts w:asciiTheme="majorHAnsi" w:hAnsiTheme="majorHAnsi"/>
          <w:b/>
          <w:i w:val="0"/>
          <w:sz w:val="22"/>
          <w:szCs w:val="22"/>
        </w:rPr>
        <w:t xml:space="preserve">Programa </w:t>
      </w:r>
      <w:r w:rsidR="00AA5A6C" w:rsidRPr="00A95CF5">
        <w:rPr>
          <w:rStyle w:val="nfase"/>
          <w:rFonts w:asciiTheme="majorHAnsi" w:hAnsiTheme="majorHAnsi"/>
          <w:b/>
          <w:i w:val="0"/>
          <w:sz w:val="22"/>
          <w:szCs w:val="22"/>
        </w:rPr>
        <w:t>dos</w:t>
      </w:r>
      <w:r w:rsidR="009B5D83" w:rsidRPr="00A95CF5">
        <w:rPr>
          <w:rStyle w:val="nfase"/>
          <w:rFonts w:asciiTheme="majorHAnsi" w:hAnsiTheme="majorHAnsi"/>
          <w:b/>
          <w:i w:val="0"/>
          <w:sz w:val="22"/>
          <w:szCs w:val="22"/>
        </w:rPr>
        <w:t xml:space="preserve"> trabalhos</w:t>
      </w:r>
    </w:p>
    <w:p w:rsidR="00814DC5" w:rsidRDefault="00814DC5" w:rsidP="0065215E">
      <w:pPr>
        <w:tabs>
          <w:tab w:val="left" w:pos="4678"/>
          <w:tab w:val="left" w:pos="6237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814DC5" w:rsidRDefault="00814DC5" w:rsidP="00814DC5">
      <w:pPr>
        <w:tabs>
          <w:tab w:val="left" w:pos="4678"/>
          <w:tab w:val="left" w:pos="6237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 COP 22 </w:t>
      </w:r>
      <w:r w:rsidR="000634ED" w:rsidRPr="00A95CF5">
        <w:rPr>
          <w:rFonts w:asciiTheme="majorHAnsi" w:hAnsiTheme="majorHAnsi"/>
          <w:bCs/>
          <w:sz w:val="22"/>
          <w:szCs w:val="22"/>
        </w:rPr>
        <w:t xml:space="preserve">integra no seu programa </w:t>
      </w:r>
      <w:r w:rsidR="00AA7AF5" w:rsidRPr="00A95CF5">
        <w:rPr>
          <w:rFonts w:asciiTheme="majorHAnsi" w:hAnsiTheme="majorHAnsi"/>
          <w:bCs/>
          <w:sz w:val="22"/>
          <w:szCs w:val="22"/>
        </w:rPr>
        <w:t>de trabalhos</w:t>
      </w:r>
      <w:r w:rsidR="002C007C" w:rsidRPr="00A95CF5">
        <w:rPr>
          <w:rStyle w:val="Refdenotaderodap"/>
          <w:rFonts w:asciiTheme="majorHAnsi" w:hAnsiTheme="majorHAnsi"/>
          <w:bCs/>
          <w:sz w:val="22"/>
          <w:szCs w:val="22"/>
        </w:rPr>
        <w:footnoteReference w:id="5"/>
      </w:r>
      <w:r w:rsidR="000634ED" w:rsidRPr="00A95CF5">
        <w:rPr>
          <w:rFonts w:asciiTheme="majorHAnsi" w:hAnsiTheme="majorHAnsi"/>
          <w:bCs/>
          <w:sz w:val="22"/>
          <w:szCs w:val="22"/>
        </w:rPr>
        <w:t xml:space="preserve"> </w:t>
      </w:r>
      <w:r w:rsidR="00AA7AF5" w:rsidRPr="00A95CF5">
        <w:rPr>
          <w:rFonts w:asciiTheme="majorHAnsi" w:hAnsiTheme="majorHAnsi"/>
          <w:bCs/>
          <w:sz w:val="22"/>
          <w:szCs w:val="22"/>
        </w:rPr>
        <w:t>a negociação das regras, p</w:t>
      </w:r>
      <w:r w:rsidR="000634ED" w:rsidRPr="00A95CF5">
        <w:rPr>
          <w:rFonts w:asciiTheme="majorHAnsi" w:hAnsiTheme="majorHAnsi"/>
          <w:bCs/>
          <w:sz w:val="22"/>
          <w:szCs w:val="22"/>
        </w:rPr>
        <w:t>rocedimentos e orientações para a implementação</w:t>
      </w:r>
      <w:r>
        <w:rPr>
          <w:rFonts w:asciiTheme="majorHAnsi" w:hAnsiTheme="majorHAnsi"/>
          <w:bCs/>
          <w:sz w:val="22"/>
          <w:szCs w:val="22"/>
        </w:rPr>
        <w:t xml:space="preserve"> do Acordo, visando ainda abordar </w:t>
      </w:r>
      <w:r w:rsidRPr="00A95CF5">
        <w:rPr>
          <w:rFonts w:asciiTheme="majorHAnsi" w:hAnsiTheme="majorHAnsi"/>
          <w:bCs/>
          <w:sz w:val="22"/>
          <w:szCs w:val="22"/>
        </w:rPr>
        <w:t xml:space="preserve">exemplos concretos ilustrativos do caminho para uma economia de baixo carbono, </w:t>
      </w:r>
      <w:r w:rsidR="00B13442">
        <w:rPr>
          <w:rFonts w:asciiTheme="majorHAnsi" w:hAnsiTheme="majorHAnsi"/>
          <w:bCs/>
          <w:sz w:val="22"/>
          <w:szCs w:val="22"/>
        </w:rPr>
        <w:t xml:space="preserve">bem como </w:t>
      </w:r>
      <w:r w:rsidRPr="00A95CF5">
        <w:rPr>
          <w:rFonts w:asciiTheme="majorHAnsi" w:hAnsiTheme="majorHAnsi"/>
          <w:bCs/>
          <w:sz w:val="22"/>
          <w:szCs w:val="22"/>
        </w:rPr>
        <w:t>a planificação nacional com medidas concretas no terreno e as medidas de monitorização de metas.</w:t>
      </w:r>
      <w:r w:rsidR="00D02C73">
        <w:rPr>
          <w:rFonts w:asciiTheme="majorHAnsi" w:hAnsiTheme="majorHAnsi"/>
          <w:bCs/>
          <w:sz w:val="22"/>
          <w:szCs w:val="22"/>
        </w:rPr>
        <w:t xml:space="preserve"> </w:t>
      </w:r>
    </w:p>
    <w:p w:rsidR="00634482" w:rsidRDefault="00634482" w:rsidP="0065215E">
      <w:pPr>
        <w:tabs>
          <w:tab w:val="left" w:pos="4678"/>
          <w:tab w:val="left" w:pos="6237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F3532C" w:rsidRPr="00A95CF5" w:rsidRDefault="00F3532C" w:rsidP="0065215E">
      <w:pPr>
        <w:tabs>
          <w:tab w:val="left" w:pos="4678"/>
          <w:tab w:val="left" w:pos="6237"/>
        </w:tabs>
        <w:jc w:val="both"/>
        <w:rPr>
          <w:rFonts w:asciiTheme="majorHAnsi" w:hAnsiTheme="majorHAnsi"/>
          <w:bCs/>
          <w:sz w:val="22"/>
          <w:szCs w:val="22"/>
        </w:rPr>
      </w:pPr>
      <w:r w:rsidRPr="00A95CF5">
        <w:rPr>
          <w:rFonts w:asciiTheme="majorHAnsi" w:hAnsiTheme="majorHAnsi"/>
          <w:bCs/>
          <w:sz w:val="22"/>
          <w:szCs w:val="22"/>
        </w:rPr>
        <w:lastRenderedPageBreak/>
        <w:t xml:space="preserve">A </w:t>
      </w:r>
      <w:r w:rsidR="00685033" w:rsidRPr="00A95CF5">
        <w:rPr>
          <w:rFonts w:asciiTheme="majorHAnsi" w:hAnsiTheme="majorHAnsi"/>
          <w:bCs/>
          <w:sz w:val="22"/>
          <w:szCs w:val="22"/>
        </w:rPr>
        <w:t xml:space="preserve">expectativa da </w:t>
      </w:r>
      <w:r w:rsidRPr="00A95CF5">
        <w:rPr>
          <w:rFonts w:asciiTheme="majorHAnsi" w:hAnsiTheme="majorHAnsi"/>
          <w:bCs/>
          <w:sz w:val="22"/>
          <w:szCs w:val="22"/>
        </w:rPr>
        <w:t>União Europeia</w:t>
      </w:r>
      <w:r w:rsidR="00D02C73">
        <w:rPr>
          <w:rStyle w:val="Refdenotaderodap"/>
          <w:rFonts w:asciiTheme="majorHAnsi" w:hAnsiTheme="majorHAnsi"/>
          <w:bCs/>
          <w:sz w:val="22"/>
          <w:szCs w:val="22"/>
        </w:rPr>
        <w:footnoteReference w:id="6"/>
      </w:r>
      <w:r w:rsidRPr="00A95CF5">
        <w:rPr>
          <w:rFonts w:asciiTheme="majorHAnsi" w:hAnsiTheme="majorHAnsi"/>
          <w:bCs/>
          <w:sz w:val="22"/>
          <w:szCs w:val="22"/>
        </w:rPr>
        <w:t xml:space="preserve"> </w:t>
      </w:r>
      <w:r w:rsidR="00685033" w:rsidRPr="00A95CF5">
        <w:rPr>
          <w:rFonts w:asciiTheme="majorHAnsi" w:hAnsiTheme="majorHAnsi"/>
          <w:bCs/>
          <w:sz w:val="22"/>
          <w:szCs w:val="22"/>
        </w:rPr>
        <w:t xml:space="preserve">é a de que </w:t>
      </w:r>
      <w:r w:rsidRPr="00A95CF5">
        <w:rPr>
          <w:rFonts w:asciiTheme="majorHAnsi" w:hAnsiTheme="majorHAnsi"/>
          <w:bCs/>
          <w:sz w:val="22"/>
          <w:szCs w:val="22"/>
        </w:rPr>
        <w:t>ocorram progressos em elementos chave do Acordo de Paris, designadamente no que se refere ao ace</w:t>
      </w:r>
      <w:r w:rsidR="00162612">
        <w:rPr>
          <w:rFonts w:asciiTheme="majorHAnsi" w:hAnsiTheme="majorHAnsi"/>
          <w:bCs/>
          <w:sz w:val="22"/>
          <w:szCs w:val="22"/>
        </w:rPr>
        <w:t>sso a financiamento por parte dos</w:t>
      </w:r>
      <w:r w:rsidRPr="00A95CF5">
        <w:rPr>
          <w:rFonts w:asciiTheme="majorHAnsi" w:hAnsiTheme="majorHAnsi"/>
          <w:bCs/>
          <w:sz w:val="22"/>
          <w:szCs w:val="22"/>
        </w:rPr>
        <w:t xml:space="preserve"> </w:t>
      </w:r>
      <w:r w:rsidR="00162612">
        <w:rPr>
          <w:rFonts w:asciiTheme="majorHAnsi" w:hAnsiTheme="majorHAnsi"/>
          <w:bCs/>
          <w:sz w:val="22"/>
          <w:szCs w:val="22"/>
        </w:rPr>
        <w:t>P</w:t>
      </w:r>
      <w:r w:rsidRPr="00A95CF5">
        <w:rPr>
          <w:rFonts w:asciiTheme="majorHAnsi" w:hAnsiTheme="majorHAnsi"/>
          <w:bCs/>
          <w:sz w:val="22"/>
          <w:szCs w:val="22"/>
        </w:rPr>
        <w:t xml:space="preserve">aíses em </w:t>
      </w:r>
      <w:r w:rsidR="00162612">
        <w:rPr>
          <w:rFonts w:asciiTheme="majorHAnsi" w:hAnsiTheme="majorHAnsi"/>
          <w:bCs/>
          <w:sz w:val="22"/>
          <w:szCs w:val="22"/>
        </w:rPr>
        <w:t>V</w:t>
      </w:r>
      <w:r w:rsidRPr="00A95CF5">
        <w:rPr>
          <w:rFonts w:asciiTheme="majorHAnsi" w:hAnsiTheme="majorHAnsi"/>
          <w:bCs/>
          <w:sz w:val="22"/>
          <w:szCs w:val="22"/>
        </w:rPr>
        <w:t xml:space="preserve">ias de </w:t>
      </w:r>
      <w:r w:rsidR="00162612">
        <w:rPr>
          <w:rFonts w:asciiTheme="majorHAnsi" w:hAnsiTheme="majorHAnsi"/>
          <w:bCs/>
          <w:sz w:val="22"/>
          <w:szCs w:val="22"/>
        </w:rPr>
        <w:t>D</w:t>
      </w:r>
      <w:r w:rsidRPr="00A95CF5">
        <w:rPr>
          <w:rFonts w:asciiTheme="majorHAnsi" w:hAnsiTheme="majorHAnsi"/>
          <w:bCs/>
          <w:sz w:val="22"/>
          <w:szCs w:val="22"/>
        </w:rPr>
        <w:t xml:space="preserve">esenvolvimento </w:t>
      </w:r>
      <w:r w:rsidR="00685033" w:rsidRPr="00A95CF5">
        <w:rPr>
          <w:rFonts w:asciiTheme="majorHAnsi" w:hAnsiTheme="majorHAnsi"/>
          <w:bCs/>
          <w:sz w:val="22"/>
          <w:szCs w:val="22"/>
        </w:rPr>
        <w:t xml:space="preserve">e ao </w:t>
      </w:r>
      <w:r w:rsidRPr="00A95CF5">
        <w:rPr>
          <w:rFonts w:asciiTheme="majorHAnsi" w:hAnsiTheme="majorHAnsi"/>
          <w:bCs/>
          <w:sz w:val="22"/>
          <w:szCs w:val="22"/>
        </w:rPr>
        <w:t xml:space="preserve">desenvolvimento e fortalecimento dos conhecimentos e processos necessários </w:t>
      </w:r>
      <w:r w:rsidR="00162612">
        <w:rPr>
          <w:rFonts w:asciiTheme="majorHAnsi" w:hAnsiTheme="majorHAnsi"/>
          <w:bCs/>
          <w:sz w:val="22"/>
          <w:szCs w:val="22"/>
        </w:rPr>
        <w:t>nos mesmos</w:t>
      </w:r>
      <w:r w:rsidRPr="00A95CF5">
        <w:rPr>
          <w:rFonts w:asciiTheme="majorHAnsi" w:hAnsiTheme="majorHAnsi"/>
          <w:bCs/>
          <w:sz w:val="22"/>
          <w:szCs w:val="22"/>
        </w:rPr>
        <w:t>, com vista à implementação dos respetivos programas para as alterações climáticas.</w:t>
      </w:r>
    </w:p>
    <w:p w:rsidR="003C3C27" w:rsidRPr="00A95CF5" w:rsidRDefault="003C3C27" w:rsidP="002C007C">
      <w:pPr>
        <w:tabs>
          <w:tab w:val="left" w:pos="4678"/>
          <w:tab w:val="left" w:pos="6237"/>
        </w:tabs>
        <w:rPr>
          <w:rFonts w:asciiTheme="majorHAnsi" w:hAnsiTheme="majorHAnsi"/>
          <w:bCs/>
          <w:sz w:val="22"/>
          <w:szCs w:val="22"/>
        </w:rPr>
      </w:pPr>
    </w:p>
    <w:p w:rsidR="009B5D83" w:rsidRPr="00A95CF5" w:rsidRDefault="00685033" w:rsidP="009B5D83">
      <w:pPr>
        <w:pStyle w:val="NormalWeb"/>
        <w:ind w:left="0"/>
        <w:rPr>
          <w:rStyle w:val="nfase"/>
          <w:rFonts w:asciiTheme="majorHAnsi" w:hAnsiTheme="majorHAnsi"/>
          <w:b/>
          <w:i w:val="0"/>
          <w:sz w:val="22"/>
          <w:szCs w:val="22"/>
        </w:rPr>
      </w:pPr>
      <w:r w:rsidRPr="00A95CF5">
        <w:rPr>
          <w:rStyle w:val="nfase"/>
          <w:rFonts w:asciiTheme="majorHAnsi" w:hAnsiTheme="majorHAnsi"/>
          <w:b/>
          <w:i w:val="0"/>
          <w:sz w:val="22"/>
          <w:szCs w:val="22"/>
        </w:rPr>
        <w:t>C</w:t>
      </w:r>
      <w:r w:rsidR="009B5D83" w:rsidRPr="00A95CF5">
        <w:rPr>
          <w:rStyle w:val="nfase"/>
          <w:rFonts w:asciiTheme="majorHAnsi" w:hAnsiTheme="majorHAnsi"/>
          <w:b/>
          <w:i w:val="0"/>
          <w:sz w:val="22"/>
          <w:szCs w:val="22"/>
        </w:rPr>
        <w:t>)</w:t>
      </w:r>
      <w:r w:rsidR="009B5D83" w:rsidRPr="00A95CF5">
        <w:rPr>
          <w:rStyle w:val="nfase"/>
          <w:rFonts w:asciiTheme="majorHAnsi" w:hAnsiTheme="majorHAnsi"/>
          <w:b/>
          <w:i w:val="0"/>
          <w:sz w:val="22"/>
          <w:szCs w:val="22"/>
        </w:rPr>
        <w:tab/>
        <w:t>A agenda de Portugal para as alterações climáticas</w:t>
      </w:r>
      <w:r w:rsidR="00D02C73">
        <w:rPr>
          <w:rStyle w:val="Refdenotaderodap"/>
          <w:rFonts w:asciiTheme="majorHAnsi" w:hAnsiTheme="majorHAnsi"/>
          <w:b/>
          <w:iCs/>
          <w:sz w:val="22"/>
          <w:szCs w:val="22"/>
        </w:rPr>
        <w:footnoteReference w:id="7"/>
      </w:r>
    </w:p>
    <w:p w:rsidR="00B35799" w:rsidRPr="00A95CF5" w:rsidRDefault="00B35799" w:rsidP="00B35799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  <w:highlight w:val="yellow"/>
        </w:rPr>
      </w:pPr>
    </w:p>
    <w:p w:rsidR="00AA5A6C" w:rsidRPr="00A95CF5" w:rsidRDefault="00AA5A6C" w:rsidP="00AA5A6C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A95CF5">
        <w:rPr>
          <w:rFonts w:asciiTheme="majorHAnsi" w:hAnsiTheme="majorHAnsi"/>
          <w:sz w:val="22"/>
          <w:szCs w:val="22"/>
        </w:rPr>
        <w:t xml:space="preserve">O </w:t>
      </w:r>
      <w:hyperlink r:id="rId9" w:history="1">
        <w:r w:rsidR="00C620FC" w:rsidRPr="00A95CF5">
          <w:rPr>
            <w:rStyle w:val="Hiperligao"/>
            <w:rFonts w:asciiTheme="majorHAnsi" w:hAnsiTheme="majorHAnsi"/>
            <w:sz w:val="22"/>
            <w:szCs w:val="22"/>
          </w:rPr>
          <w:t>Quadro Estratégico para a Política Climática</w:t>
        </w:r>
      </w:hyperlink>
      <w:r w:rsidR="00C620FC" w:rsidRPr="00A95CF5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C620FC" w:rsidRPr="00A95CF5">
        <w:rPr>
          <w:rFonts w:asciiTheme="majorHAnsi" w:hAnsiTheme="majorHAnsi"/>
          <w:sz w:val="22"/>
          <w:szCs w:val="22"/>
        </w:rPr>
        <w:t>QEPiC</w:t>
      </w:r>
      <w:proofErr w:type="spellEnd"/>
      <w:r w:rsidR="00C620FC" w:rsidRPr="00A95CF5">
        <w:rPr>
          <w:rFonts w:asciiTheme="majorHAnsi" w:hAnsiTheme="majorHAnsi"/>
          <w:sz w:val="22"/>
          <w:szCs w:val="22"/>
        </w:rPr>
        <w:t>)</w:t>
      </w:r>
      <w:r w:rsidR="00B35799" w:rsidRPr="00A95CF5">
        <w:rPr>
          <w:rStyle w:val="Refdenotaderodap"/>
          <w:rFonts w:asciiTheme="majorHAnsi" w:hAnsiTheme="majorHAnsi"/>
          <w:sz w:val="22"/>
          <w:szCs w:val="22"/>
        </w:rPr>
        <w:footnoteReference w:id="8"/>
      </w:r>
      <w:r w:rsidR="00B35799" w:rsidRPr="00A95CF5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A95CF5">
        <w:rPr>
          <w:rFonts w:asciiTheme="majorHAnsi" w:hAnsiTheme="majorHAnsi"/>
          <w:sz w:val="22"/>
          <w:szCs w:val="22"/>
        </w:rPr>
        <w:t>tem</w:t>
      </w:r>
      <w:proofErr w:type="gramEnd"/>
      <w:r w:rsidRPr="00A95CF5">
        <w:rPr>
          <w:rFonts w:asciiTheme="majorHAnsi" w:hAnsiTheme="majorHAnsi"/>
          <w:sz w:val="22"/>
          <w:szCs w:val="22"/>
        </w:rPr>
        <w:t xml:space="preserve"> como visão “</w:t>
      </w:r>
      <w:r w:rsidRPr="00A95CF5">
        <w:rPr>
          <w:rFonts w:asciiTheme="majorHAnsi" w:hAnsiTheme="majorHAnsi"/>
          <w:i/>
          <w:sz w:val="22"/>
          <w:szCs w:val="22"/>
        </w:rPr>
        <w:t>o desenvolvimento de uma economia competitiva, resiliente e de baixo carbono, estabelecendo um novo paradigma de desenvolvimento para Portugal num contexto de Crescimento Verde</w:t>
      </w:r>
      <w:r w:rsidRPr="00A95CF5">
        <w:rPr>
          <w:rFonts w:asciiTheme="majorHAnsi" w:hAnsiTheme="majorHAnsi"/>
          <w:sz w:val="22"/>
          <w:szCs w:val="22"/>
        </w:rPr>
        <w:t>”, que assenta nos seguintes nove objetivos:</w:t>
      </w:r>
    </w:p>
    <w:p w:rsidR="00AA5A6C" w:rsidRPr="00A95CF5" w:rsidRDefault="00AA5A6C" w:rsidP="00AA5A6C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AA5A6C" w:rsidRPr="00A95CF5" w:rsidRDefault="00AA5A6C" w:rsidP="00AA5A6C">
      <w:pPr>
        <w:pStyle w:val="PargrafodaLista"/>
        <w:numPr>
          <w:ilvl w:val="0"/>
          <w:numId w:val="4"/>
        </w:numPr>
        <w:tabs>
          <w:tab w:val="left" w:pos="4678"/>
          <w:tab w:val="left" w:pos="6237"/>
        </w:tabs>
        <w:jc w:val="both"/>
        <w:rPr>
          <w:rFonts w:asciiTheme="majorHAnsi" w:hAnsiTheme="majorHAnsi"/>
          <w:i/>
        </w:rPr>
      </w:pPr>
      <w:r w:rsidRPr="00A95CF5">
        <w:rPr>
          <w:rFonts w:asciiTheme="majorHAnsi" w:hAnsiTheme="majorHAnsi"/>
        </w:rPr>
        <w:t>“</w:t>
      </w:r>
      <w:r w:rsidRPr="00A95CF5">
        <w:rPr>
          <w:rFonts w:asciiTheme="majorHAnsi" w:hAnsiTheme="majorHAnsi"/>
          <w:i/>
        </w:rPr>
        <w:t>Promover a transição para uma economia de baixo carbono, gerando mais riqueza e emprego, contribuindo para o crescimento verde;</w:t>
      </w:r>
    </w:p>
    <w:p w:rsidR="00AA5A6C" w:rsidRPr="00A95CF5" w:rsidRDefault="00AA5A6C" w:rsidP="00AA5A6C">
      <w:pPr>
        <w:pStyle w:val="PargrafodaLista"/>
        <w:numPr>
          <w:ilvl w:val="0"/>
          <w:numId w:val="4"/>
        </w:numPr>
        <w:tabs>
          <w:tab w:val="left" w:pos="4678"/>
          <w:tab w:val="left" w:pos="6237"/>
        </w:tabs>
        <w:jc w:val="both"/>
        <w:rPr>
          <w:rFonts w:asciiTheme="majorHAnsi" w:hAnsiTheme="majorHAnsi"/>
          <w:i/>
        </w:rPr>
      </w:pPr>
      <w:r w:rsidRPr="00A95CF5">
        <w:rPr>
          <w:rFonts w:asciiTheme="majorHAnsi" w:hAnsiTheme="majorHAnsi"/>
          <w:i/>
        </w:rPr>
        <w:t>Assegurar uma trajetória sustentável de redução das emissões de GEE;</w:t>
      </w:r>
    </w:p>
    <w:p w:rsidR="00AA5A6C" w:rsidRPr="00A95CF5" w:rsidRDefault="00AA5A6C" w:rsidP="00AA5A6C">
      <w:pPr>
        <w:pStyle w:val="PargrafodaLista"/>
        <w:numPr>
          <w:ilvl w:val="0"/>
          <w:numId w:val="4"/>
        </w:numPr>
        <w:tabs>
          <w:tab w:val="left" w:pos="4678"/>
          <w:tab w:val="left" w:pos="6237"/>
        </w:tabs>
        <w:jc w:val="both"/>
        <w:rPr>
          <w:rFonts w:asciiTheme="majorHAnsi" w:hAnsiTheme="majorHAnsi"/>
          <w:i/>
        </w:rPr>
      </w:pPr>
      <w:r w:rsidRPr="00A95CF5">
        <w:rPr>
          <w:rFonts w:asciiTheme="majorHAnsi" w:hAnsiTheme="majorHAnsi"/>
          <w:i/>
        </w:rPr>
        <w:t>Reforçar a resiliência e as capacidades nacionais de adaptação;</w:t>
      </w:r>
    </w:p>
    <w:p w:rsidR="00AA5A6C" w:rsidRPr="00A95CF5" w:rsidRDefault="00AA5A6C" w:rsidP="00AA5A6C">
      <w:pPr>
        <w:pStyle w:val="PargrafodaLista"/>
        <w:numPr>
          <w:ilvl w:val="0"/>
          <w:numId w:val="4"/>
        </w:numPr>
        <w:tabs>
          <w:tab w:val="left" w:pos="4678"/>
          <w:tab w:val="left" w:pos="6237"/>
        </w:tabs>
        <w:jc w:val="both"/>
        <w:rPr>
          <w:rFonts w:asciiTheme="majorHAnsi" w:hAnsiTheme="majorHAnsi"/>
          <w:i/>
        </w:rPr>
      </w:pPr>
      <w:r w:rsidRPr="00A95CF5">
        <w:rPr>
          <w:rFonts w:asciiTheme="majorHAnsi" w:hAnsiTheme="majorHAnsi"/>
          <w:i/>
        </w:rPr>
        <w:t>Assegurar uma participação empenhada nas negociações internacionais e em matéria de cooperação;</w:t>
      </w:r>
    </w:p>
    <w:p w:rsidR="00AA5A6C" w:rsidRPr="00A95CF5" w:rsidRDefault="00AA5A6C" w:rsidP="00AA5A6C">
      <w:pPr>
        <w:pStyle w:val="PargrafodaLista"/>
        <w:numPr>
          <w:ilvl w:val="0"/>
          <w:numId w:val="4"/>
        </w:numPr>
        <w:tabs>
          <w:tab w:val="left" w:pos="4678"/>
          <w:tab w:val="left" w:pos="6237"/>
        </w:tabs>
        <w:jc w:val="both"/>
        <w:rPr>
          <w:rFonts w:asciiTheme="majorHAnsi" w:hAnsiTheme="majorHAnsi"/>
          <w:i/>
        </w:rPr>
      </w:pPr>
      <w:r w:rsidRPr="00A95CF5">
        <w:rPr>
          <w:rFonts w:asciiTheme="majorHAnsi" w:hAnsiTheme="majorHAnsi"/>
          <w:i/>
        </w:rPr>
        <w:t>Estimular a investigação, a inovação e a produção de conhecimento;</w:t>
      </w:r>
    </w:p>
    <w:p w:rsidR="00AA5A6C" w:rsidRPr="00A95CF5" w:rsidRDefault="00AA5A6C" w:rsidP="00AA5A6C">
      <w:pPr>
        <w:pStyle w:val="PargrafodaLista"/>
        <w:numPr>
          <w:ilvl w:val="0"/>
          <w:numId w:val="4"/>
        </w:numPr>
        <w:tabs>
          <w:tab w:val="left" w:pos="4678"/>
          <w:tab w:val="left" w:pos="6237"/>
        </w:tabs>
        <w:jc w:val="both"/>
        <w:rPr>
          <w:rFonts w:asciiTheme="majorHAnsi" w:hAnsiTheme="majorHAnsi"/>
          <w:i/>
        </w:rPr>
      </w:pPr>
      <w:r w:rsidRPr="00A95CF5">
        <w:rPr>
          <w:rFonts w:asciiTheme="majorHAnsi" w:hAnsiTheme="majorHAnsi"/>
          <w:i/>
        </w:rPr>
        <w:t>Envolver a sociedade nos desafios das alterações climáticas, contribuindo para aumentar a ação individual e coletiva;</w:t>
      </w:r>
    </w:p>
    <w:p w:rsidR="00AA5A6C" w:rsidRPr="00A95CF5" w:rsidRDefault="00AA5A6C" w:rsidP="00AA5A6C">
      <w:pPr>
        <w:pStyle w:val="PargrafodaLista"/>
        <w:numPr>
          <w:ilvl w:val="0"/>
          <w:numId w:val="4"/>
        </w:numPr>
        <w:tabs>
          <w:tab w:val="left" w:pos="4678"/>
          <w:tab w:val="left" w:pos="6237"/>
        </w:tabs>
        <w:jc w:val="both"/>
        <w:rPr>
          <w:rFonts w:asciiTheme="majorHAnsi" w:hAnsiTheme="majorHAnsi"/>
          <w:i/>
        </w:rPr>
      </w:pPr>
      <w:r w:rsidRPr="00A95CF5">
        <w:rPr>
          <w:rFonts w:asciiTheme="majorHAnsi" w:hAnsiTheme="majorHAnsi"/>
          <w:i/>
        </w:rPr>
        <w:t>Aumentar a eficácia dos sistemas de informação</w:t>
      </w:r>
      <w:proofErr w:type="gramStart"/>
      <w:r w:rsidRPr="00A95CF5">
        <w:rPr>
          <w:rFonts w:asciiTheme="majorHAnsi" w:hAnsiTheme="majorHAnsi"/>
          <w:i/>
        </w:rPr>
        <w:t>,</w:t>
      </w:r>
      <w:proofErr w:type="gramEnd"/>
      <w:r w:rsidRPr="00A95CF5">
        <w:rPr>
          <w:rFonts w:asciiTheme="majorHAnsi" w:hAnsiTheme="majorHAnsi"/>
          <w:i/>
        </w:rPr>
        <w:t xml:space="preserve"> reporte e monitorização;</w:t>
      </w:r>
    </w:p>
    <w:p w:rsidR="00AA5A6C" w:rsidRPr="00A95CF5" w:rsidRDefault="00AA5A6C" w:rsidP="00AA5A6C">
      <w:pPr>
        <w:pStyle w:val="PargrafodaLista"/>
        <w:numPr>
          <w:ilvl w:val="0"/>
          <w:numId w:val="4"/>
        </w:numPr>
        <w:tabs>
          <w:tab w:val="left" w:pos="4678"/>
          <w:tab w:val="left" w:pos="6237"/>
        </w:tabs>
        <w:jc w:val="both"/>
        <w:rPr>
          <w:rFonts w:asciiTheme="majorHAnsi" w:hAnsiTheme="majorHAnsi"/>
          <w:i/>
        </w:rPr>
      </w:pPr>
      <w:r w:rsidRPr="00A95CF5">
        <w:rPr>
          <w:rFonts w:asciiTheme="majorHAnsi" w:hAnsiTheme="majorHAnsi"/>
          <w:i/>
        </w:rPr>
        <w:t>Garantir condições de financiamento e aumentar os níveis de investimento;</w:t>
      </w:r>
    </w:p>
    <w:p w:rsidR="00AA5A6C" w:rsidRPr="00A95CF5" w:rsidRDefault="00AA5A6C" w:rsidP="00AA5A6C">
      <w:pPr>
        <w:pStyle w:val="PargrafodaLista"/>
        <w:numPr>
          <w:ilvl w:val="0"/>
          <w:numId w:val="4"/>
        </w:numPr>
        <w:tabs>
          <w:tab w:val="left" w:pos="4678"/>
          <w:tab w:val="left" w:pos="6237"/>
        </w:tabs>
        <w:jc w:val="both"/>
        <w:rPr>
          <w:rFonts w:asciiTheme="majorHAnsi" w:hAnsiTheme="majorHAnsi"/>
        </w:rPr>
      </w:pPr>
      <w:r w:rsidRPr="00A95CF5">
        <w:rPr>
          <w:rFonts w:asciiTheme="majorHAnsi" w:hAnsiTheme="majorHAnsi"/>
          <w:i/>
        </w:rPr>
        <w:t>Garantir condições eficazes de governação e assegurar a integração dos objetivos climáticos nos domínios setoriais (</w:t>
      </w:r>
      <w:proofErr w:type="spellStart"/>
      <w:proofErr w:type="gramStart"/>
      <w:r w:rsidRPr="00A95CF5">
        <w:rPr>
          <w:rFonts w:asciiTheme="majorHAnsi" w:hAnsiTheme="majorHAnsi"/>
          <w:i/>
        </w:rPr>
        <w:t>mainstreaming</w:t>
      </w:r>
      <w:proofErr w:type="spellEnd"/>
      <w:r w:rsidRPr="00A95CF5">
        <w:rPr>
          <w:rFonts w:asciiTheme="majorHAnsi" w:hAnsiTheme="majorHAnsi"/>
          <w:i/>
        </w:rPr>
        <w:t>)</w:t>
      </w:r>
      <w:proofErr w:type="gramEnd"/>
      <w:r w:rsidRPr="00A95CF5">
        <w:rPr>
          <w:rFonts w:asciiTheme="majorHAnsi" w:hAnsiTheme="majorHAnsi"/>
        </w:rPr>
        <w:t>”</w:t>
      </w:r>
      <w:r w:rsidRPr="00A95CF5">
        <w:rPr>
          <w:rFonts w:asciiTheme="majorHAnsi" w:hAnsiTheme="majorHAnsi"/>
          <w:i/>
        </w:rPr>
        <w:t>.</w:t>
      </w:r>
    </w:p>
    <w:p w:rsidR="00D02C73" w:rsidRDefault="00D02C73" w:rsidP="00D02C73">
      <w:pPr>
        <w:rPr>
          <w:sz w:val="22"/>
          <w:szCs w:val="22"/>
        </w:rPr>
      </w:pPr>
      <w:r>
        <w:t>Sobre esta matéria, realçam-se igualmente os principais elementos do mandato negocial da União Europeia para a COP 22, os quais refletem a posição nacional:</w:t>
      </w:r>
    </w:p>
    <w:p w:rsidR="00D02C73" w:rsidRDefault="00D02C73" w:rsidP="00D02C73">
      <w:pPr>
        <w:jc w:val="both"/>
      </w:pPr>
    </w:p>
    <w:p w:rsidR="00D02C73" w:rsidRDefault="00D02C73" w:rsidP="00D02C73">
      <w:pPr>
        <w:numPr>
          <w:ilvl w:val="0"/>
          <w:numId w:val="6"/>
        </w:numPr>
        <w:jc w:val="both"/>
      </w:pPr>
      <w:r>
        <w:t>Confirmação do Acordo histórico em Paris e do objetivo de permanecer abaixo dos 2C (e perseguir esforços para permanecer abaixo do1,5C)</w:t>
      </w:r>
    </w:p>
    <w:p w:rsidR="00D02C73" w:rsidRDefault="00D02C73" w:rsidP="00D02C73">
      <w:pPr>
        <w:numPr>
          <w:ilvl w:val="0"/>
          <w:numId w:val="6"/>
        </w:numPr>
        <w:jc w:val="both"/>
      </w:pPr>
      <w:r>
        <w:t>O empenho da EU na sua política doméstica climática e o progresso alcançado até ao momento</w:t>
      </w:r>
    </w:p>
    <w:p w:rsidR="00D02C73" w:rsidRDefault="00D02C73" w:rsidP="00D02C73">
      <w:pPr>
        <w:numPr>
          <w:ilvl w:val="0"/>
          <w:numId w:val="6"/>
        </w:numPr>
        <w:jc w:val="both"/>
      </w:pPr>
      <w:r>
        <w:t>A referência à importância de desenvolver estratégias de longo prazo por forma a conseguirmos alcançar o equilíbrio entre emissões e remoções na segunda metade do século</w:t>
      </w:r>
    </w:p>
    <w:p w:rsidR="00D02C73" w:rsidRDefault="00D02C73" w:rsidP="00D02C73">
      <w:pPr>
        <w:numPr>
          <w:ilvl w:val="0"/>
          <w:numId w:val="6"/>
        </w:numPr>
        <w:jc w:val="both"/>
      </w:pPr>
      <w:r>
        <w:t>Mobilização de financiamento para alterações climáticas (ligação à adoção de conclusões nessa matéria pelo ECOFIN)</w:t>
      </w:r>
    </w:p>
    <w:p w:rsidR="00D02C73" w:rsidRDefault="00D02C73" w:rsidP="00D02C73">
      <w:pPr>
        <w:numPr>
          <w:ilvl w:val="0"/>
          <w:numId w:val="6"/>
        </w:numPr>
        <w:ind w:left="714" w:hanging="357"/>
        <w:jc w:val="both"/>
      </w:pPr>
      <w:r>
        <w:t xml:space="preserve">Notam a preocupação de que o atual nível de ambição das contribuições não é suficiente para permanecer abaixo dos 2C e salienta a necessidade de desenhar um </w:t>
      </w:r>
      <w:r>
        <w:lastRenderedPageBreak/>
        <w:t>ciclo de ambição no contexto do Acordo que incentive a ação doméstica, a ação global e a cooperação institucional</w:t>
      </w:r>
    </w:p>
    <w:p w:rsidR="00D02C73" w:rsidRDefault="00D02C73" w:rsidP="00D02C73">
      <w:pPr>
        <w:numPr>
          <w:ilvl w:val="0"/>
          <w:numId w:val="6"/>
        </w:numPr>
        <w:ind w:left="714" w:hanging="357"/>
        <w:jc w:val="both"/>
      </w:pPr>
      <w:r>
        <w:t>Salienta a importância das futuras contribuições terem todo o mesmo horizonte temporal (para todas as Partes)</w:t>
      </w:r>
    </w:p>
    <w:p w:rsidR="00D02C73" w:rsidRDefault="00D02C73" w:rsidP="00D02C73">
      <w:pPr>
        <w:numPr>
          <w:ilvl w:val="0"/>
          <w:numId w:val="6"/>
        </w:numPr>
        <w:ind w:left="714" w:hanging="357"/>
        <w:jc w:val="both"/>
      </w:pPr>
      <w:r>
        <w:t>Salienta que Marraquexe será uma conferência das Partes dedicada á ação e à implementação do programa de trabalhos acordado em Paris</w:t>
      </w:r>
    </w:p>
    <w:p w:rsidR="00D02C73" w:rsidRDefault="00D02C73" w:rsidP="00D02C73">
      <w:pPr>
        <w:spacing w:after="160" w:line="252" w:lineRule="auto"/>
        <w:jc w:val="both"/>
      </w:pPr>
    </w:p>
    <w:p w:rsidR="007E5BD9" w:rsidRPr="00A95CF5" w:rsidRDefault="00AA5A6C" w:rsidP="00AA5A6C">
      <w:pPr>
        <w:tabs>
          <w:tab w:val="left" w:pos="4678"/>
          <w:tab w:val="left" w:pos="6237"/>
        </w:tabs>
        <w:jc w:val="both"/>
        <w:rPr>
          <w:rFonts w:asciiTheme="majorHAnsi" w:hAnsiTheme="majorHAnsi"/>
          <w:sz w:val="22"/>
          <w:szCs w:val="22"/>
        </w:rPr>
      </w:pPr>
      <w:r w:rsidRPr="00A95CF5">
        <w:rPr>
          <w:rFonts w:asciiTheme="majorHAnsi" w:hAnsiTheme="majorHAnsi"/>
          <w:bCs/>
          <w:sz w:val="22"/>
          <w:szCs w:val="22"/>
        </w:rPr>
        <w:t xml:space="preserve">Refira-se, por fim, </w:t>
      </w:r>
      <w:r w:rsidR="002C007C" w:rsidRPr="00A95CF5">
        <w:rPr>
          <w:rFonts w:asciiTheme="majorHAnsi" w:hAnsiTheme="majorHAnsi"/>
          <w:bCs/>
          <w:sz w:val="22"/>
          <w:szCs w:val="22"/>
        </w:rPr>
        <w:t xml:space="preserve">que as alterações climáticas </w:t>
      </w:r>
      <w:r w:rsidR="002C007C" w:rsidRPr="00A95CF5">
        <w:rPr>
          <w:rFonts w:asciiTheme="majorHAnsi" w:hAnsiTheme="majorHAnsi"/>
          <w:sz w:val="22"/>
          <w:szCs w:val="22"/>
        </w:rPr>
        <w:t xml:space="preserve">são </w:t>
      </w:r>
      <w:r w:rsidRPr="00A95CF5">
        <w:rPr>
          <w:rFonts w:asciiTheme="majorHAnsi" w:hAnsiTheme="majorHAnsi"/>
          <w:sz w:val="22"/>
          <w:szCs w:val="22"/>
        </w:rPr>
        <w:t xml:space="preserve">consideradas </w:t>
      </w:r>
      <w:r w:rsidR="007E5BD9" w:rsidRPr="00A95CF5">
        <w:rPr>
          <w:rFonts w:asciiTheme="majorHAnsi" w:hAnsiTheme="majorHAnsi"/>
          <w:sz w:val="22"/>
          <w:szCs w:val="22"/>
        </w:rPr>
        <w:t>uma prioridade no âmbito da Estratégia Europa 2020</w:t>
      </w:r>
      <w:r w:rsidR="002C007C" w:rsidRPr="00A95CF5">
        <w:rPr>
          <w:rFonts w:asciiTheme="majorHAnsi" w:hAnsiTheme="majorHAnsi"/>
          <w:sz w:val="22"/>
          <w:szCs w:val="22"/>
        </w:rPr>
        <w:t xml:space="preserve">, encontrando-se estabelecido no </w:t>
      </w:r>
      <w:hyperlink r:id="rId10" w:history="1">
        <w:r w:rsidR="002C007C" w:rsidRPr="00A95CF5">
          <w:rPr>
            <w:rStyle w:val="Hiperligao"/>
            <w:rFonts w:asciiTheme="majorHAnsi" w:hAnsiTheme="majorHAnsi"/>
            <w:sz w:val="22"/>
            <w:szCs w:val="22"/>
          </w:rPr>
          <w:t>Acordo de Parceria</w:t>
        </w:r>
      </w:hyperlink>
      <w:r w:rsidRPr="00A95CF5">
        <w:rPr>
          <w:rFonts w:asciiTheme="majorHAnsi" w:hAnsiTheme="majorHAnsi"/>
          <w:sz w:val="22"/>
          <w:szCs w:val="22"/>
        </w:rPr>
        <w:t xml:space="preserve"> </w:t>
      </w:r>
      <w:r w:rsidR="00A95CF5" w:rsidRPr="00A95CF5">
        <w:rPr>
          <w:rFonts w:asciiTheme="majorHAnsi" w:hAnsiTheme="majorHAnsi"/>
          <w:sz w:val="22"/>
          <w:szCs w:val="22"/>
        </w:rPr>
        <w:t xml:space="preserve">entre Portugal e a Comissão Europeia </w:t>
      </w:r>
      <w:r w:rsidR="002C007C" w:rsidRPr="00A95CF5">
        <w:rPr>
          <w:rFonts w:asciiTheme="majorHAnsi" w:hAnsiTheme="majorHAnsi"/>
          <w:sz w:val="22"/>
          <w:szCs w:val="22"/>
        </w:rPr>
        <w:t xml:space="preserve">que </w:t>
      </w:r>
      <w:r w:rsidR="007E5BD9" w:rsidRPr="00A95CF5">
        <w:rPr>
          <w:rFonts w:asciiTheme="majorHAnsi" w:hAnsiTheme="majorHAnsi"/>
          <w:sz w:val="22"/>
          <w:szCs w:val="22"/>
        </w:rPr>
        <w:t>Portugal deverá desenvolver as respostas adequadas em termos de mitigação e adaptação, procurando que sejam transversais aos vários domínios temáticos (</w:t>
      </w:r>
      <w:proofErr w:type="spellStart"/>
      <w:r w:rsidR="007E5BD9" w:rsidRPr="00A95CF5">
        <w:rPr>
          <w:rFonts w:asciiTheme="majorHAnsi" w:hAnsiTheme="majorHAnsi"/>
          <w:i/>
          <w:iCs/>
          <w:sz w:val="22"/>
          <w:szCs w:val="22"/>
        </w:rPr>
        <w:t>mainstreaming</w:t>
      </w:r>
      <w:proofErr w:type="spellEnd"/>
      <w:r w:rsidR="007E5BD9" w:rsidRPr="00A95CF5">
        <w:rPr>
          <w:rFonts w:asciiTheme="majorHAnsi" w:hAnsiTheme="majorHAnsi"/>
          <w:sz w:val="22"/>
          <w:szCs w:val="22"/>
        </w:rPr>
        <w:t xml:space="preserve">), não se concentrando no domínio temático da sustentabilidade. </w:t>
      </w:r>
    </w:p>
    <w:p w:rsidR="00A95CF5" w:rsidRPr="00A95CF5" w:rsidRDefault="00A95CF5" w:rsidP="00AA5A6C">
      <w:pPr>
        <w:tabs>
          <w:tab w:val="left" w:pos="4678"/>
          <w:tab w:val="left" w:pos="6237"/>
        </w:tabs>
        <w:jc w:val="both"/>
        <w:rPr>
          <w:rFonts w:asciiTheme="majorHAnsi" w:hAnsiTheme="majorHAnsi"/>
          <w:sz w:val="22"/>
          <w:szCs w:val="22"/>
        </w:rPr>
      </w:pPr>
    </w:p>
    <w:p w:rsidR="00A95CF5" w:rsidRPr="00A95CF5" w:rsidRDefault="00A95CF5" w:rsidP="00A95CF5">
      <w:pPr>
        <w:tabs>
          <w:tab w:val="left" w:pos="4678"/>
          <w:tab w:val="left" w:pos="6237"/>
        </w:tabs>
        <w:jc w:val="both"/>
        <w:rPr>
          <w:rFonts w:asciiTheme="majorHAnsi" w:hAnsiTheme="majorHAnsi"/>
          <w:sz w:val="22"/>
          <w:szCs w:val="22"/>
        </w:rPr>
      </w:pPr>
      <w:r w:rsidRPr="00A95CF5">
        <w:rPr>
          <w:rFonts w:asciiTheme="majorHAnsi" w:hAnsiTheme="majorHAnsi"/>
          <w:sz w:val="22"/>
          <w:szCs w:val="22"/>
        </w:rPr>
        <w:t xml:space="preserve">No contexto dos desafios de transição para uma economia de baixo carbono, assente numa utilização mais eficiente de recursos e na promoção de maior resiliência face aos riscos climáticos e às catástrofes, salienta-se o </w:t>
      </w:r>
      <w:hyperlink r:id="rId11" w:history="1">
        <w:r w:rsidRPr="00BB777C">
          <w:rPr>
            <w:rStyle w:val="Hiperligao"/>
            <w:rFonts w:asciiTheme="majorHAnsi" w:hAnsiTheme="majorHAnsi"/>
            <w:sz w:val="22"/>
            <w:szCs w:val="22"/>
          </w:rPr>
          <w:t>PO SEUR</w:t>
        </w:r>
      </w:hyperlink>
      <w:r w:rsidRPr="00A95CF5">
        <w:rPr>
          <w:rFonts w:asciiTheme="majorHAnsi" w:hAnsiTheme="majorHAnsi"/>
          <w:sz w:val="22"/>
          <w:szCs w:val="22"/>
        </w:rPr>
        <w:t xml:space="preserve"> - Programa Operacional Sustentabilidade e Eficiência no Uso de Recursos</w:t>
      </w:r>
      <w:r>
        <w:rPr>
          <w:rFonts w:asciiTheme="majorHAnsi" w:hAnsiTheme="majorHAnsi"/>
          <w:sz w:val="22"/>
          <w:szCs w:val="22"/>
        </w:rPr>
        <w:t>, no qual são enquadrados diferentes mecanismos de incentivos.</w:t>
      </w:r>
    </w:p>
    <w:p w:rsidR="000634ED" w:rsidRPr="00A95CF5" w:rsidRDefault="000634ED" w:rsidP="0065215E">
      <w:pPr>
        <w:pStyle w:val="PargrafodaLista"/>
        <w:tabs>
          <w:tab w:val="left" w:pos="4678"/>
          <w:tab w:val="left" w:pos="6237"/>
        </w:tabs>
        <w:spacing w:line="240" w:lineRule="auto"/>
        <w:rPr>
          <w:rFonts w:asciiTheme="majorHAnsi" w:hAnsiTheme="majorHAnsi"/>
          <w:bCs/>
        </w:rPr>
      </w:pPr>
    </w:p>
    <w:p w:rsidR="00BF5B86" w:rsidRPr="00D02C73" w:rsidRDefault="00DC28AA" w:rsidP="0065215E">
      <w:pPr>
        <w:rPr>
          <w:rStyle w:val="nfase"/>
          <w:rFonts w:asciiTheme="majorHAnsi" w:hAnsiTheme="majorHAnsi"/>
          <w:b/>
          <w:i w:val="0"/>
          <w:sz w:val="22"/>
          <w:szCs w:val="22"/>
        </w:rPr>
      </w:pPr>
      <w:r w:rsidRPr="00D02C73">
        <w:rPr>
          <w:rStyle w:val="nfase"/>
          <w:rFonts w:asciiTheme="majorHAnsi" w:hAnsiTheme="majorHAnsi"/>
          <w:b/>
          <w:i w:val="0"/>
          <w:sz w:val="22"/>
          <w:szCs w:val="22"/>
        </w:rPr>
        <w:t>D)</w:t>
      </w:r>
      <w:r w:rsidRPr="00D02C73">
        <w:rPr>
          <w:rStyle w:val="nfase"/>
          <w:rFonts w:asciiTheme="majorHAnsi" w:hAnsiTheme="majorHAnsi"/>
          <w:b/>
          <w:i w:val="0"/>
          <w:sz w:val="22"/>
          <w:szCs w:val="22"/>
        </w:rPr>
        <w:tab/>
      </w:r>
      <w:r w:rsidR="00342597">
        <w:rPr>
          <w:rStyle w:val="nfase"/>
          <w:rFonts w:asciiTheme="majorHAnsi" w:hAnsiTheme="majorHAnsi"/>
          <w:b/>
          <w:i w:val="0"/>
          <w:sz w:val="22"/>
          <w:szCs w:val="22"/>
        </w:rPr>
        <w:t xml:space="preserve">A agenda da </w:t>
      </w:r>
      <w:r w:rsidR="00CA3F7C" w:rsidRPr="00D02C73">
        <w:rPr>
          <w:rStyle w:val="nfase"/>
          <w:rFonts w:asciiTheme="majorHAnsi" w:hAnsiTheme="majorHAnsi"/>
          <w:b/>
          <w:i w:val="0"/>
          <w:sz w:val="22"/>
          <w:szCs w:val="22"/>
        </w:rPr>
        <w:t>AR</w:t>
      </w:r>
      <w:r w:rsidR="00342597">
        <w:rPr>
          <w:rStyle w:val="nfase"/>
          <w:rFonts w:asciiTheme="majorHAnsi" w:hAnsiTheme="majorHAnsi"/>
          <w:b/>
          <w:i w:val="0"/>
          <w:sz w:val="22"/>
          <w:szCs w:val="22"/>
        </w:rPr>
        <w:t xml:space="preserve"> para as alterações climáticas</w:t>
      </w:r>
    </w:p>
    <w:p w:rsidR="00DC28AA" w:rsidRPr="00D02C73" w:rsidRDefault="00DC28AA" w:rsidP="00675599">
      <w:pPr>
        <w:jc w:val="both"/>
        <w:rPr>
          <w:rStyle w:val="nfase"/>
          <w:rFonts w:asciiTheme="majorHAnsi" w:hAnsiTheme="majorHAnsi"/>
          <w:b/>
          <w:i w:val="0"/>
          <w:sz w:val="22"/>
          <w:szCs w:val="22"/>
        </w:rPr>
      </w:pPr>
    </w:p>
    <w:p w:rsidR="00675599" w:rsidRPr="00675599" w:rsidRDefault="00675599" w:rsidP="00675599">
      <w:pPr>
        <w:pStyle w:val="PargrafodaLista"/>
        <w:numPr>
          <w:ilvl w:val="0"/>
          <w:numId w:val="8"/>
        </w:numPr>
        <w:jc w:val="both"/>
        <w:rPr>
          <w:rStyle w:val="nfase"/>
          <w:rFonts w:asciiTheme="majorHAnsi" w:hAnsiTheme="majorHAnsi"/>
          <w:i w:val="0"/>
        </w:rPr>
      </w:pPr>
      <w:r w:rsidRPr="00675599">
        <w:rPr>
          <w:rStyle w:val="nfase"/>
          <w:rFonts w:asciiTheme="majorHAnsi" w:hAnsiTheme="majorHAnsi"/>
          <w:i w:val="0"/>
        </w:rPr>
        <w:t xml:space="preserve">Debate temático, requerido pelo Governo, sobre alterações climáticas, em conjunto com a proposta de resolução n.º 18/XIII (1.ª) — Aprova o Acordo de Paris, no âmbito da Convenção-Quadro das Nações Unidas </w:t>
      </w:r>
      <w:r>
        <w:rPr>
          <w:rStyle w:val="nfase"/>
          <w:rFonts w:asciiTheme="majorHAnsi" w:hAnsiTheme="majorHAnsi"/>
          <w:i w:val="0"/>
        </w:rPr>
        <w:t xml:space="preserve">para </w:t>
      </w:r>
      <w:r w:rsidRPr="00675599">
        <w:rPr>
          <w:rStyle w:val="nfase"/>
          <w:rFonts w:asciiTheme="majorHAnsi" w:hAnsiTheme="majorHAnsi"/>
          <w:i w:val="0"/>
        </w:rPr>
        <w:t xml:space="preserve">as </w:t>
      </w:r>
      <w:r>
        <w:rPr>
          <w:rStyle w:val="nfase"/>
          <w:rFonts w:asciiTheme="majorHAnsi" w:hAnsiTheme="majorHAnsi"/>
          <w:i w:val="0"/>
        </w:rPr>
        <w:t>Alterações Climátic</w:t>
      </w:r>
      <w:bookmarkStart w:id="0" w:name="_GoBack"/>
      <w:bookmarkEnd w:id="0"/>
      <w:r>
        <w:rPr>
          <w:rStyle w:val="nfase"/>
          <w:rFonts w:asciiTheme="majorHAnsi" w:hAnsiTheme="majorHAnsi"/>
          <w:i w:val="0"/>
        </w:rPr>
        <w:t xml:space="preserve">as, adotado </w:t>
      </w:r>
      <w:r w:rsidRPr="00675599">
        <w:rPr>
          <w:rStyle w:val="nfase"/>
          <w:rFonts w:asciiTheme="majorHAnsi" w:hAnsiTheme="majorHAnsi"/>
          <w:i w:val="0"/>
        </w:rPr>
        <w:t>em Paris, em 12 de dezembr</w:t>
      </w:r>
      <w:r>
        <w:rPr>
          <w:rStyle w:val="nfase"/>
          <w:rFonts w:asciiTheme="majorHAnsi" w:hAnsiTheme="majorHAnsi"/>
          <w:i w:val="0"/>
        </w:rPr>
        <w:t xml:space="preserve">o de </w:t>
      </w:r>
      <w:r w:rsidRPr="00675599">
        <w:rPr>
          <w:rStyle w:val="nfase"/>
          <w:rFonts w:asciiTheme="majorHAnsi" w:hAnsiTheme="majorHAnsi"/>
          <w:i w:val="0"/>
        </w:rPr>
        <w:t xml:space="preserve">2015, </w:t>
      </w:r>
      <w:r>
        <w:rPr>
          <w:rStyle w:val="nfase"/>
          <w:rFonts w:asciiTheme="majorHAnsi" w:hAnsiTheme="majorHAnsi"/>
          <w:i w:val="0"/>
        </w:rPr>
        <w:t xml:space="preserve">e o projeto de resolução n.º </w:t>
      </w:r>
      <w:r w:rsidRPr="00675599">
        <w:rPr>
          <w:rStyle w:val="nfase"/>
          <w:rFonts w:asciiTheme="majorHAnsi" w:hAnsiTheme="majorHAnsi"/>
          <w:i w:val="0"/>
        </w:rPr>
        <w:t xml:space="preserve">477/XIII (2.ª) — Uma política de defesa da natureza ao </w:t>
      </w:r>
      <w:r>
        <w:rPr>
          <w:rStyle w:val="nfase"/>
          <w:rFonts w:asciiTheme="majorHAnsi" w:hAnsiTheme="majorHAnsi"/>
          <w:i w:val="0"/>
        </w:rPr>
        <w:t>serviço do povo e do País (PCP) (vd. Documento anexo – Debate Alterações Climáticas)</w:t>
      </w:r>
    </w:p>
    <w:p w:rsidR="00D02C73" w:rsidRPr="00342597" w:rsidRDefault="00675599" w:rsidP="00EB6D2B">
      <w:pPr>
        <w:pStyle w:val="PargrafodaLista"/>
        <w:numPr>
          <w:ilvl w:val="0"/>
          <w:numId w:val="8"/>
        </w:numPr>
        <w:rPr>
          <w:rStyle w:val="nfase"/>
          <w:rFonts w:asciiTheme="majorHAnsi" w:hAnsiTheme="majorHAnsi"/>
          <w:i w:val="0"/>
        </w:rPr>
      </w:pPr>
      <w:r>
        <w:rPr>
          <w:rStyle w:val="nfase"/>
          <w:rFonts w:asciiTheme="majorHAnsi" w:hAnsiTheme="majorHAnsi"/>
          <w:i w:val="0"/>
        </w:rPr>
        <w:t>Processo de ratificação do</w:t>
      </w:r>
      <w:r w:rsidR="00342597" w:rsidRPr="00342597">
        <w:rPr>
          <w:rStyle w:val="nfase"/>
          <w:rFonts w:asciiTheme="majorHAnsi" w:hAnsiTheme="majorHAnsi"/>
          <w:i w:val="0"/>
        </w:rPr>
        <w:t xml:space="preserve"> Acordo de Paris</w:t>
      </w:r>
      <w:r>
        <w:rPr>
          <w:rStyle w:val="nfase"/>
          <w:rFonts w:asciiTheme="majorHAnsi" w:hAnsiTheme="majorHAnsi"/>
          <w:i w:val="0"/>
        </w:rPr>
        <w:t xml:space="preserve">: </w:t>
      </w:r>
      <w:hyperlink r:id="rId12" w:history="1">
        <w:proofErr w:type="gramStart"/>
        <w:r w:rsidR="00D02C73" w:rsidRPr="00342597">
          <w:rPr>
            <w:rStyle w:val="Hiperligao"/>
            <w:rFonts w:asciiTheme="majorHAnsi" w:hAnsiTheme="majorHAnsi"/>
          </w:rPr>
          <w:t>Link</w:t>
        </w:r>
        <w:proofErr w:type="gramEnd"/>
        <w:r w:rsidR="00D02C73" w:rsidRPr="00342597">
          <w:rPr>
            <w:rStyle w:val="Hiperligao"/>
            <w:rFonts w:asciiTheme="majorHAnsi" w:hAnsiTheme="majorHAnsi"/>
          </w:rPr>
          <w:t xml:space="preserve"> para a iniciativa</w:t>
        </w:r>
      </w:hyperlink>
      <w:r w:rsidR="00D02C73" w:rsidRPr="00342597">
        <w:rPr>
          <w:rStyle w:val="nfase"/>
          <w:rFonts w:asciiTheme="majorHAnsi" w:hAnsiTheme="majorHAnsi"/>
          <w:i w:val="0"/>
        </w:rPr>
        <w:t xml:space="preserve"> </w:t>
      </w:r>
    </w:p>
    <w:p w:rsidR="00342597" w:rsidRDefault="00675599" w:rsidP="00AE2CF2">
      <w:pPr>
        <w:pStyle w:val="PargrafodaLista"/>
        <w:numPr>
          <w:ilvl w:val="0"/>
          <w:numId w:val="8"/>
        </w:numPr>
        <w:jc w:val="both"/>
        <w:rPr>
          <w:rFonts w:asciiTheme="majorHAnsi" w:hAnsiTheme="majorHAnsi"/>
          <w:iCs/>
        </w:rPr>
      </w:pPr>
      <w:hyperlink r:id="rId13" w:history="1">
        <w:r w:rsidRPr="00675599">
          <w:rPr>
            <w:rStyle w:val="Hiperligao"/>
            <w:rFonts w:asciiTheme="majorHAnsi" w:hAnsiTheme="majorHAnsi"/>
          </w:rPr>
          <w:t>Conferência</w:t>
        </w:r>
      </w:hyperlink>
      <w:r w:rsidRPr="00675599">
        <w:rPr>
          <w:rStyle w:val="nfase"/>
          <w:rFonts w:asciiTheme="majorHAnsi" w:hAnsiTheme="majorHAnsi"/>
          <w:i w:val="0"/>
        </w:rPr>
        <w:t xml:space="preserve"> da </w:t>
      </w:r>
      <w:r w:rsidRPr="00675599">
        <w:rPr>
          <w:rStyle w:val="nfase"/>
          <w:rFonts w:asciiTheme="majorHAnsi" w:hAnsiTheme="majorHAnsi"/>
          <w:i w:val="0"/>
        </w:rPr>
        <w:t>Comissão de Ambiente, Ordenamento do Território, Descentralização, Poder Local e Habitação em parceria com o Conselho Nacional do Ambiente e do Desenvolvimento Sustentável (CNADS)</w:t>
      </w:r>
      <w:r w:rsidRPr="00675599">
        <w:rPr>
          <w:rStyle w:val="nfase"/>
          <w:rFonts w:asciiTheme="majorHAnsi" w:hAnsiTheme="majorHAnsi"/>
          <w:i w:val="0"/>
        </w:rPr>
        <w:t xml:space="preserve">: </w:t>
      </w:r>
      <w:r w:rsidR="00342597" w:rsidRPr="00675599">
        <w:rPr>
          <w:rStyle w:val="nfase"/>
          <w:rFonts w:asciiTheme="majorHAnsi" w:hAnsiTheme="majorHAnsi"/>
          <w:i w:val="0"/>
        </w:rPr>
        <w:t xml:space="preserve">Convenção-Quadro das Nações Unidas sobre as Alterações Climáticas – da COP 21 (paris, 2015) </w:t>
      </w:r>
      <w:proofErr w:type="gramStart"/>
      <w:r w:rsidR="00342597" w:rsidRPr="00675599">
        <w:rPr>
          <w:rStyle w:val="nfase"/>
          <w:rFonts w:asciiTheme="majorHAnsi" w:hAnsiTheme="majorHAnsi"/>
          <w:i w:val="0"/>
        </w:rPr>
        <w:t>à COP</w:t>
      </w:r>
      <w:proofErr w:type="gramEnd"/>
      <w:r w:rsidR="00342597" w:rsidRPr="00675599">
        <w:rPr>
          <w:rStyle w:val="nfase"/>
          <w:rFonts w:asciiTheme="majorHAnsi" w:hAnsiTheme="majorHAnsi"/>
          <w:i w:val="0"/>
        </w:rPr>
        <w:t xml:space="preserve"> 22 (</w:t>
      </w:r>
      <w:proofErr w:type="spellStart"/>
      <w:r w:rsidR="00342597" w:rsidRPr="00675599">
        <w:rPr>
          <w:rStyle w:val="nfase"/>
          <w:rFonts w:asciiTheme="majorHAnsi" w:hAnsiTheme="majorHAnsi"/>
          <w:i w:val="0"/>
        </w:rPr>
        <w:t>marrakech</w:t>
      </w:r>
      <w:proofErr w:type="spellEnd"/>
      <w:r w:rsidR="00342597" w:rsidRPr="00675599">
        <w:rPr>
          <w:rStyle w:val="nfase"/>
          <w:rFonts w:asciiTheme="majorHAnsi" w:hAnsiTheme="majorHAnsi"/>
          <w:i w:val="0"/>
        </w:rPr>
        <w:t>, 2016)</w:t>
      </w:r>
      <w:r w:rsidRPr="00675599">
        <w:rPr>
          <w:rStyle w:val="nfase"/>
          <w:rFonts w:asciiTheme="majorHAnsi" w:hAnsiTheme="majorHAnsi"/>
          <w:i w:val="0"/>
        </w:rPr>
        <w:t xml:space="preserve">, </w:t>
      </w:r>
      <w:r w:rsidR="00342597" w:rsidRPr="00675599">
        <w:rPr>
          <w:rStyle w:val="nfase"/>
          <w:rFonts w:asciiTheme="majorHAnsi" w:hAnsiTheme="majorHAnsi"/>
          <w:i w:val="0"/>
        </w:rPr>
        <w:t>25 de outubro de 2016</w:t>
      </w:r>
      <w:r w:rsidRPr="00675599">
        <w:rPr>
          <w:rStyle w:val="nfase"/>
          <w:rFonts w:asciiTheme="majorHAnsi" w:hAnsiTheme="majorHAnsi"/>
          <w:i w:val="0"/>
        </w:rPr>
        <w:t xml:space="preserve">, realizada </w:t>
      </w:r>
      <w:r w:rsidR="00342597" w:rsidRPr="00675599">
        <w:rPr>
          <w:rStyle w:val="nfase"/>
          <w:rFonts w:asciiTheme="majorHAnsi" w:hAnsiTheme="majorHAnsi"/>
          <w:i w:val="0"/>
        </w:rPr>
        <w:t xml:space="preserve">com o propósito de </w:t>
      </w:r>
      <w:r w:rsidRPr="00675599">
        <w:rPr>
          <w:rStyle w:val="nfase"/>
          <w:rFonts w:asciiTheme="majorHAnsi" w:hAnsiTheme="majorHAnsi"/>
          <w:i w:val="0"/>
        </w:rPr>
        <w:t xml:space="preserve">contribuir </w:t>
      </w:r>
      <w:r w:rsidR="00342597" w:rsidRPr="00675599">
        <w:rPr>
          <w:rFonts w:asciiTheme="majorHAnsi" w:hAnsiTheme="majorHAnsi"/>
          <w:iCs/>
        </w:rPr>
        <w:t>para uma reflexão concertada sobre os compromissos assumidos no âmbito do Acordo de Paris</w:t>
      </w:r>
      <w:r>
        <w:rPr>
          <w:rFonts w:asciiTheme="majorHAnsi" w:hAnsiTheme="majorHAnsi"/>
          <w:iCs/>
        </w:rPr>
        <w:t>.</w:t>
      </w:r>
    </w:p>
    <w:sectPr w:rsidR="00342597" w:rsidSect="00BF5B86">
      <w:headerReference w:type="default" r:id="rId14"/>
      <w:footerReference w:type="default" r:id="rId15"/>
      <w:pgSz w:w="11906" w:h="16838"/>
      <w:pgMar w:top="567" w:right="1701" w:bottom="567" w:left="1701" w:header="284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C7" w:rsidRDefault="005532C7" w:rsidP="0029403A">
      <w:r>
        <w:separator/>
      </w:r>
    </w:p>
  </w:endnote>
  <w:endnote w:type="continuationSeparator" w:id="0">
    <w:p w:rsidR="005532C7" w:rsidRDefault="005532C7" w:rsidP="002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39308"/>
      <w:docPartObj>
        <w:docPartGallery w:val="Page Numbers (Bottom of Page)"/>
        <w:docPartUnique/>
      </w:docPartObj>
    </w:sdtPr>
    <w:sdtEndPr/>
    <w:sdtContent>
      <w:p w:rsidR="007702F2" w:rsidRDefault="007702F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599">
          <w:rPr>
            <w:noProof/>
          </w:rPr>
          <w:t>3</w:t>
        </w:r>
        <w:r>
          <w:fldChar w:fldCharType="end"/>
        </w:r>
      </w:p>
    </w:sdtContent>
  </w:sdt>
  <w:p w:rsidR="007702F2" w:rsidRDefault="007702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C7" w:rsidRDefault="005532C7" w:rsidP="0029403A">
      <w:r>
        <w:separator/>
      </w:r>
    </w:p>
  </w:footnote>
  <w:footnote w:type="continuationSeparator" w:id="0">
    <w:p w:rsidR="005532C7" w:rsidRDefault="005532C7" w:rsidP="0029403A">
      <w:r>
        <w:continuationSeparator/>
      </w:r>
    </w:p>
  </w:footnote>
  <w:footnote w:id="1">
    <w:p w:rsidR="00C047BA" w:rsidRPr="002C007C" w:rsidRDefault="00C047BA">
      <w:pPr>
        <w:pStyle w:val="Textodenotaderodap"/>
        <w:rPr>
          <w:rFonts w:asciiTheme="majorHAnsi" w:hAnsiTheme="majorHAnsi"/>
          <w:sz w:val="18"/>
          <w:szCs w:val="18"/>
        </w:rPr>
      </w:pPr>
      <w:r w:rsidRPr="002C007C">
        <w:rPr>
          <w:rStyle w:val="Refdenotaderodap"/>
          <w:rFonts w:asciiTheme="majorHAnsi" w:hAnsiTheme="majorHAnsi"/>
          <w:sz w:val="18"/>
          <w:szCs w:val="18"/>
        </w:rPr>
        <w:footnoteRef/>
      </w:r>
      <w:r w:rsidRPr="002C007C">
        <w:rPr>
          <w:rFonts w:asciiTheme="majorHAnsi" w:hAnsiTheme="majorHAnsi"/>
          <w:sz w:val="18"/>
          <w:szCs w:val="18"/>
        </w:rPr>
        <w:t xml:space="preserve"> Trata-se da 22.ª reunião das Partes da Convenção (COP 22), 12.ª reunião das Partes do Protocolo de Quioto (CMP 12) e 1.ª reunião das Partes do Acordo de Paris (CMA 1).</w:t>
      </w:r>
    </w:p>
  </w:footnote>
  <w:footnote w:id="2">
    <w:p w:rsidR="00E65D24" w:rsidRPr="002C007C" w:rsidRDefault="00E65D24">
      <w:pPr>
        <w:pStyle w:val="Textodenotaderodap"/>
        <w:rPr>
          <w:rFonts w:asciiTheme="majorHAnsi" w:hAnsiTheme="majorHAnsi"/>
          <w:sz w:val="18"/>
          <w:szCs w:val="18"/>
        </w:rPr>
      </w:pPr>
      <w:r w:rsidRPr="002C007C">
        <w:rPr>
          <w:rStyle w:val="Refdenotaderodap"/>
          <w:rFonts w:asciiTheme="majorHAnsi" w:hAnsiTheme="majorHAnsi"/>
          <w:sz w:val="18"/>
          <w:szCs w:val="18"/>
        </w:rPr>
        <w:footnoteRef/>
      </w:r>
      <w:r w:rsidRPr="002C007C">
        <w:rPr>
          <w:rFonts w:asciiTheme="majorHAnsi" w:hAnsiTheme="majorHAnsi"/>
          <w:sz w:val="18"/>
          <w:szCs w:val="18"/>
        </w:rPr>
        <w:t xml:space="preserve"> Nos termos do disposto no n.º 1 do artigo 21.º do Acordo de Paris, o mesmo entra em vigor no </w:t>
      </w:r>
      <w:r w:rsidRPr="002C007C">
        <w:rPr>
          <w:rFonts w:asciiTheme="majorHAnsi" w:hAnsiTheme="majorHAnsi"/>
          <w:bCs/>
          <w:sz w:val="18"/>
          <w:szCs w:val="18"/>
        </w:rPr>
        <w:t xml:space="preserve">trigésimo dia após a data em que 55 Partes da Convenção, contabilizando no total pelo menos 55 % do total das emissões globais de gases com efeitos de estufa, depositaram os seus instrumentos de ratificação, aceitação, aprovação ou adesão. </w:t>
      </w:r>
    </w:p>
  </w:footnote>
  <w:footnote w:id="3">
    <w:p w:rsidR="00E65D24" w:rsidRPr="002C007C" w:rsidRDefault="00E65D24">
      <w:pPr>
        <w:pStyle w:val="Textodenotaderodap"/>
        <w:rPr>
          <w:rFonts w:asciiTheme="majorHAnsi" w:hAnsiTheme="majorHAnsi"/>
          <w:sz w:val="18"/>
          <w:szCs w:val="18"/>
        </w:rPr>
      </w:pPr>
      <w:r w:rsidRPr="002C007C">
        <w:rPr>
          <w:rStyle w:val="Refdenotaderodap"/>
          <w:rFonts w:asciiTheme="majorHAnsi" w:hAnsiTheme="majorHAnsi"/>
          <w:sz w:val="18"/>
          <w:szCs w:val="18"/>
        </w:rPr>
        <w:footnoteRef/>
      </w:r>
      <w:r w:rsidRPr="002C007C">
        <w:rPr>
          <w:rFonts w:asciiTheme="majorHAnsi" w:hAnsiTheme="majorHAnsi"/>
          <w:sz w:val="18"/>
          <w:szCs w:val="18"/>
        </w:rPr>
        <w:t xml:space="preserve"> </w:t>
      </w:r>
      <w:r w:rsidRPr="002C007C">
        <w:rPr>
          <w:rFonts w:asciiTheme="majorHAnsi" w:hAnsiTheme="majorHAnsi"/>
          <w:bCs/>
          <w:sz w:val="18"/>
          <w:szCs w:val="18"/>
        </w:rPr>
        <w:t>Veja-se, quanto ao progresso das</w:t>
      </w:r>
      <w:r w:rsidR="00B13442">
        <w:rPr>
          <w:rFonts w:asciiTheme="majorHAnsi" w:hAnsiTheme="majorHAnsi"/>
          <w:bCs/>
          <w:sz w:val="18"/>
          <w:szCs w:val="18"/>
        </w:rPr>
        <w:t xml:space="preserve"> ratificações, o seguinte </w:t>
      </w:r>
      <w:proofErr w:type="gramStart"/>
      <w:r w:rsidR="00B13442">
        <w:rPr>
          <w:rFonts w:asciiTheme="majorHAnsi" w:hAnsiTheme="majorHAnsi"/>
          <w:bCs/>
          <w:sz w:val="18"/>
          <w:szCs w:val="18"/>
        </w:rPr>
        <w:t>link</w:t>
      </w:r>
      <w:proofErr w:type="gramEnd"/>
      <w:r w:rsidR="00B13442">
        <w:rPr>
          <w:rFonts w:asciiTheme="majorHAnsi" w:hAnsiTheme="majorHAnsi"/>
          <w:bCs/>
          <w:sz w:val="18"/>
          <w:szCs w:val="18"/>
        </w:rPr>
        <w:t xml:space="preserve">: </w:t>
      </w:r>
      <w:hyperlink r:id="rId1" w:history="1">
        <w:r w:rsidR="00B13442" w:rsidRPr="00BC6C76">
          <w:rPr>
            <w:rStyle w:val="Hiperligao"/>
            <w:rFonts w:asciiTheme="majorHAnsi" w:hAnsiTheme="majorHAnsi"/>
            <w:bCs/>
            <w:sz w:val="18"/>
            <w:szCs w:val="18"/>
          </w:rPr>
          <w:t>http://unfccc.int/paris_agreement/items/9444.php</w:t>
        </w:r>
      </w:hyperlink>
      <w:r w:rsidRPr="002C007C">
        <w:rPr>
          <w:rStyle w:val="Hiperligao"/>
          <w:rFonts w:asciiTheme="majorHAnsi" w:hAnsiTheme="majorHAnsi"/>
          <w:bCs/>
          <w:sz w:val="18"/>
          <w:szCs w:val="18"/>
        </w:rPr>
        <w:t>.</w:t>
      </w:r>
    </w:p>
  </w:footnote>
  <w:footnote w:id="4">
    <w:p w:rsidR="00E65D24" w:rsidRPr="002C007C" w:rsidRDefault="00E65D24">
      <w:pPr>
        <w:pStyle w:val="Textodenotaderodap"/>
        <w:rPr>
          <w:rFonts w:asciiTheme="majorHAnsi" w:hAnsiTheme="majorHAnsi"/>
          <w:sz w:val="18"/>
          <w:szCs w:val="18"/>
        </w:rPr>
      </w:pPr>
      <w:r w:rsidRPr="002C007C">
        <w:rPr>
          <w:rStyle w:val="Refdenotaderodap"/>
          <w:rFonts w:asciiTheme="majorHAnsi" w:hAnsiTheme="majorHAnsi"/>
          <w:sz w:val="18"/>
          <w:szCs w:val="18"/>
        </w:rPr>
        <w:footnoteRef/>
      </w:r>
      <w:r w:rsidRPr="002C007C">
        <w:rPr>
          <w:rFonts w:asciiTheme="majorHAnsi" w:hAnsiTheme="majorHAnsi"/>
          <w:sz w:val="18"/>
          <w:szCs w:val="18"/>
        </w:rPr>
        <w:t xml:space="preserve"> Nos termos do artigo 1.º da Convenção, “</w:t>
      </w:r>
      <w:r w:rsidRPr="002C007C">
        <w:rPr>
          <w:rFonts w:asciiTheme="majorHAnsi" w:hAnsiTheme="majorHAnsi"/>
          <w:i/>
          <w:sz w:val="18"/>
          <w:szCs w:val="18"/>
        </w:rPr>
        <w:t>o objetivo final desta Convenção e de quaisquer instrumentos legais que a Conferência das Partes possa vir a adotar é o de conseguir, de acordo com as disposições relevantes da Convenção, a estabilização das concentrações na atmosfera de gases com efeito de estufa a um nível que evite uma interferência antropogénica perigosa com o sistema climático. Tal nível deveria ser atingido durante um espaço de tempo suficiente para permitir a adaptação natural dos ecossistemas às alterações climáticas, para garantir que a produção de alimentos não seja ameaçada e para permitir que o desenvolvimento económico prossiga de uma forma sustentável</w:t>
      </w:r>
      <w:r w:rsidRPr="002C007C">
        <w:rPr>
          <w:rFonts w:asciiTheme="majorHAnsi" w:hAnsiTheme="majorHAnsi"/>
          <w:sz w:val="18"/>
          <w:szCs w:val="18"/>
        </w:rPr>
        <w:t>”.</w:t>
      </w:r>
    </w:p>
  </w:footnote>
  <w:footnote w:id="5">
    <w:p w:rsidR="002C007C" w:rsidRPr="002C007C" w:rsidRDefault="002C007C" w:rsidP="002C007C">
      <w:pPr>
        <w:tabs>
          <w:tab w:val="left" w:pos="4678"/>
          <w:tab w:val="left" w:pos="6237"/>
        </w:tabs>
        <w:jc w:val="both"/>
        <w:rPr>
          <w:rFonts w:asciiTheme="majorHAnsi" w:hAnsiTheme="majorHAnsi"/>
          <w:bCs/>
          <w:sz w:val="18"/>
          <w:szCs w:val="18"/>
        </w:rPr>
      </w:pPr>
      <w:r w:rsidRPr="002C007C">
        <w:rPr>
          <w:rStyle w:val="Refdenotaderodap"/>
          <w:rFonts w:asciiTheme="majorHAnsi" w:hAnsiTheme="majorHAnsi"/>
          <w:sz w:val="18"/>
          <w:szCs w:val="18"/>
        </w:rPr>
        <w:footnoteRef/>
      </w:r>
      <w:r w:rsidRPr="002C007C">
        <w:rPr>
          <w:rFonts w:asciiTheme="majorHAnsi" w:hAnsiTheme="majorHAnsi"/>
          <w:sz w:val="18"/>
          <w:szCs w:val="18"/>
        </w:rPr>
        <w:t xml:space="preserve"> </w:t>
      </w:r>
      <w:r w:rsidR="007055B6">
        <w:rPr>
          <w:rFonts w:asciiTheme="majorHAnsi" w:hAnsiTheme="majorHAnsi"/>
          <w:sz w:val="18"/>
          <w:szCs w:val="18"/>
        </w:rPr>
        <w:t>I</w:t>
      </w:r>
      <w:r w:rsidRPr="002C007C">
        <w:rPr>
          <w:rFonts w:asciiTheme="majorHAnsi" w:hAnsiTheme="majorHAnsi"/>
          <w:bCs/>
          <w:sz w:val="18"/>
          <w:szCs w:val="18"/>
        </w:rPr>
        <w:t xml:space="preserve">nformação adicional sobre a </w:t>
      </w:r>
      <w:hyperlink r:id="rId2" w:history="1">
        <w:r w:rsidRPr="002C007C">
          <w:rPr>
            <w:rStyle w:val="Hiperligao"/>
            <w:rFonts w:asciiTheme="majorHAnsi" w:hAnsiTheme="majorHAnsi"/>
            <w:bCs/>
            <w:sz w:val="18"/>
            <w:szCs w:val="18"/>
          </w:rPr>
          <w:t>Agenda COP 22</w:t>
        </w:r>
      </w:hyperlink>
      <w:r w:rsidRPr="002C007C">
        <w:rPr>
          <w:rFonts w:asciiTheme="majorHAnsi" w:hAnsiTheme="majorHAnsi"/>
          <w:bCs/>
          <w:sz w:val="18"/>
          <w:szCs w:val="18"/>
        </w:rPr>
        <w:t xml:space="preserve">, a </w:t>
      </w:r>
      <w:hyperlink r:id="rId3" w:history="1">
        <w:r w:rsidRPr="002C007C">
          <w:rPr>
            <w:rStyle w:val="Hiperligao"/>
            <w:rFonts w:asciiTheme="majorHAnsi" w:hAnsiTheme="majorHAnsi"/>
            <w:bCs/>
            <w:sz w:val="18"/>
            <w:szCs w:val="18"/>
          </w:rPr>
          <w:t>Agenda CMP 12</w:t>
        </w:r>
      </w:hyperlink>
      <w:r w:rsidRPr="002C007C">
        <w:rPr>
          <w:rFonts w:asciiTheme="majorHAnsi" w:hAnsiTheme="majorHAnsi"/>
          <w:bCs/>
          <w:sz w:val="18"/>
          <w:szCs w:val="18"/>
        </w:rPr>
        <w:t xml:space="preserve"> e </w:t>
      </w:r>
      <w:r w:rsidRPr="00AA5A6C">
        <w:rPr>
          <w:rFonts w:asciiTheme="majorHAnsi" w:hAnsiTheme="majorHAnsi"/>
          <w:bCs/>
          <w:sz w:val="18"/>
          <w:szCs w:val="18"/>
        </w:rPr>
        <w:t xml:space="preserve">a </w:t>
      </w:r>
      <w:hyperlink r:id="rId4" w:history="1">
        <w:r w:rsidRPr="00AA5A6C">
          <w:rPr>
            <w:rStyle w:val="Hiperligao"/>
            <w:rFonts w:asciiTheme="majorHAnsi" w:hAnsiTheme="majorHAnsi"/>
            <w:bCs/>
            <w:sz w:val="18"/>
            <w:szCs w:val="18"/>
          </w:rPr>
          <w:t>Agenda CMA 1</w:t>
        </w:r>
      </w:hyperlink>
      <w:r w:rsidRPr="00AA5A6C">
        <w:rPr>
          <w:rFonts w:asciiTheme="majorHAnsi" w:hAnsiTheme="majorHAnsi"/>
          <w:bCs/>
          <w:sz w:val="18"/>
          <w:szCs w:val="18"/>
        </w:rPr>
        <w:t>, assim</w:t>
      </w:r>
      <w:r w:rsidRPr="002C007C">
        <w:rPr>
          <w:rFonts w:asciiTheme="majorHAnsi" w:hAnsiTheme="majorHAnsi"/>
          <w:bCs/>
          <w:sz w:val="18"/>
          <w:szCs w:val="18"/>
        </w:rPr>
        <w:t xml:space="preserve"> como</w:t>
      </w:r>
      <w:r w:rsidR="00B13442">
        <w:rPr>
          <w:rFonts w:asciiTheme="majorHAnsi" w:hAnsiTheme="majorHAnsi"/>
          <w:bCs/>
          <w:sz w:val="18"/>
          <w:szCs w:val="18"/>
        </w:rPr>
        <w:t xml:space="preserve"> a agenda</w:t>
      </w:r>
      <w:r w:rsidRPr="002C007C">
        <w:rPr>
          <w:rFonts w:asciiTheme="majorHAnsi" w:hAnsiTheme="majorHAnsi"/>
          <w:bCs/>
          <w:sz w:val="18"/>
          <w:szCs w:val="18"/>
        </w:rPr>
        <w:t xml:space="preserve"> “</w:t>
      </w:r>
      <w:proofErr w:type="spellStart"/>
      <w:r w:rsidRPr="002C007C">
        <w:rPr>
          <w:rFonts w:asciiTheme="majorHAnsi" w:hAnsiTheme="majorHAnsi"/>
          <w:bCs/>
          <w:i/>
          <w:sz w:val="18"/>
          <w:szCs w:val="18"/>
        </w:rPr>
        <w:fldChar w:fldCharType="begin"/>
      </w:r>
      <w:r w:rsidRPr="002C007C">
        <w:rPr>
          <w:rFonts w:asciiTheme="majorHAnsi" w:hAnsiTheme="majorHAnsi"/>
          <w:bCs/>
          <w:i/>
          <w:sz w:val="18"/>
          <w:szCs w:val="18"/>
        </w:rPr>
        <w:instrText xml:space="preserve"> HYPERLINK "http://newsroom.unfccc.int/cop22marrakechinformationhub/cop-22cmp-12cma-1-information-hub-high-level-segment/" </w:instrText>
      </w:r>
      <w:r w:rsidRPr="002C007C">
        <w:rPr>
          <w:rFonts w:asciiTheme="majorHAnsi" w:hAnsiTheme="majorHAnsi"/>
          <w:bCs/>
          <w:i/>
          <w:sz w:val="18"/>
          <w:szCs w:val="18"/>
        </w:rPr>
        <w:fldChar w:fldCharType="separate"/>
      </w:r>
      <w:r w:rsidRPr="002C007C">
        <w:rPr>
          <w:rStyle w:val="Hiperligao"/>
          <w:rFonts w:asciiTheme="majorHAnsi" w:hAnsiTheme="majorHAnsi"/>
          <w:bCs/>
          <w:i/>
          <w:sz w:val="18"/>
          <w:szCs w:val="18"/>
        </w:rPr>
        <w:t>High</w:t>
      </w:r>
      <w:proofErr w:type="spellEnd"/>
      <w:r w:rsidRPr="002C007C">
        <w:rPr>
          <w:rStyle w:val="Hiperligao"/>
          <w:rFonts w:asciiTheme="majorHAnsi" w:hAnsiTheme="majorHAnsi"/>
          <w:bCs/>
          <w:i/>
          <w:sz w:val="18"/>
          <w:szCs w:val="18"/>
        </w:rPr>
        <w:t xml:space="preserve"> </w:t>
      </w:r>
      <w:proofErr w:type="spellStart"/>
      <w:r w:rsidRPr="002C007C">
        <w:rPr>
          <w:rStyle w:val="Hiperligao"/>
          <w:rFonts w:asciiTheme="majorHAnsi" w:hAnsiTheme="majorHAnsi"/>
          <w:bCs/>
          <w:i/>
          <w:sz w:val="18"/>
          <w:szCs w:val="18"/>
        </w:rPr>
        <w:t>Level</w:t>
      </w:r>
      <w:proofErr w:type="spellEnd"/>
      <w:r w:rsidRPr="002C007C">
        <w:rPr>
          <w:rStyle w:val="Hiperligao"/>
          <w:rFonts w:asciiTheme="majorHAnsi" w:hAnsiTheme="majorHAnsi"/>
          <w:bCs/>
          <w:i/>
          <w:sz w:val="18"/>
          <w:szCs w:val="18"/>
        </w:rPr>
        <w:t xml:space="preserve"> </w:t>
      </w:r>
      <w:proofErr w:type="spellStart"/>
      <w:r w:rsidRPr="002C007C">
        <w:rPr>
          <w:rStyle w:val="Hiperligao"/>
          <w:rFonts w:asciiTheme="majorHAnsi" w:hAnsiTheme="majorHAnsi"/>
          <w:bCs/>
          <w:i/>
          <w:sz w:val="18"/>
          <w:szCs w:val="18"/>
        </w:rPr>
        <w:t>Segment</w:t>
      </w:r>
      <w:proofErr w:type="spellEnd"/>
      <w:r w:rsidRPr="002C007C">
        <w:rPr>
          <w:rFonts w:asciiTheme="majorHAnsi" w:hAnsiTheme="majorHAnsi"/>
          <w:bCs/>
          <w:i/>
          <w:sz w:val="18"/>
          <w:szCs w:val="18"/>
        </w:rPr>
        <w:fldChar w:fldCharType="end"/>
      </w:r>
      <w:r w:rsidRPr="002C007C">
        <w:rPr>
          <w:rFonts w:asciiTheme="majorHAnsi" w:hAnsiTheme="majorHAnsi"/>
          <w:bCs/>
          <w:sz w:val="18"/>
          <w:szCs w:val="18"/>
        </w:rPr>
        <w:t xml:space="preserve">” e </w:t>
      </w:r>
      <w:r w:rsidR="00B13442">
        <w:rPr>
          <w:rFonts w:asciiTheme="majorHAnsi" w:hAnsiTheme="majorHAnsi"/>
          <w:bCs/>
          <w:sz w:val="18"/>
          <w:szCs w:val="18"/>
        </w:rPr>
        <w:t xml:space="preserve">ainda os </w:t>
      </w:r>
      <w:hyperlink r:id="rId5" w:history="1">
        <w:proofErr w:type="spellStart"/>
        <w:r w:rsidRPr="00B13442">
          <w:rPr>
            <w:rStyle w:val="Hiperligao"/>
            <w:rFonts w:asciiTheme="majorHAnsi" w:hAnsiTheme="majorHAnsi"/>
            <w:bCs/>
            <w:i/>
            <w:sz w:val="18"/>
            <w:szCs w:val="18"/>
          </w:rPr>
          <w:t>side</w:t>
        </w:r>
        <w:proofErr w:type="spellEnd"/>
        <w:r w:rsidRPr="00B13442">
          <w:rPr>
            <w:rStyle w:val="Hiperligao"/>
            <w:rFonts w:asciiTheme="majorHAnsi" w:hAnsiTheme="majorHAnsi"/>
            <w:bCs/>
            <w:i/>
            <w:sz w:val="18"/>
            <w:szCs w:val="18"/>
          </w:rPr>
          <w:t xml:space="preserve"> </w:t>
        </w:r>
        <w:proofErr w:type="spellStart"/>
        <w:r w:rsidRPr="00B13442">
          <w:rPr>
            <w:rStyle w:val="Hiperligao"/>
            <w:rFonts w:asciiTheme="majorHAnsi" w:hAnsiTheme="majorHAnsi"/>
            <w:bCs/>
            <w:i/>
            <w:sz w:val="18"/>
            <w:szCs w:val="18"/>
          </w:rPr>
          <w:t>events</w:t>
        </w:r>
        <w:proofErr w:type="spellEnd"/>
      </w:hyperlink>
      <w:r w:rsidR="007055B6">
        <w:rPr>
          <w:rFonts w:asciiTheme="majorHAnsi" w:hAnsiTheme="majorHAnsi"/>
          <w:bCs/>
          <w:sz w:val="18"/>
          <w:szCs w:val="18"/>
        </w:rPr>
        <w:t xml:space="preserve"> incluída no documento “Informações Práticas” e respetivos anexos.</w:t>
      </w:r>
    </w:p>
    <w:p w:rsidR="002C007C" w:rsidRPr="002C007C" w:rsidRDefault="002C007C">
      <w:pPr>
        <w:pStyle w:val="Textodenotaderodap"/>
        <w:rPr>
          <w:rFonts w:asciiTheme="majorHAnsi" w:hAnsiTheme="majorHAnsi"/>
          <w:sz w:val="18"/>
          <w:szCs w:val="18"/>
        </w:rPr>
      </w:pPr>
    </w:p>
  </w:footnote>
  <w:footnote w:id="6">
    <w:p w:rsidR="00D02C73" w:rsidRPr="00D02C73" w:rsidRDefault="00D02C73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D02C73">
        <w:rPr>
          <w:lang w:val="en-US"/>
        </w:rPr>
        <w:t xml:space="preserve"> </w:t>
      </w:r>
      <w:proofErr w:type="spellStart"/>
      <w:r w:rsidRPr="00D02C73">
        <w:rPr>
          <w:lang w:val="en-US"/>
        </w:rPr>
        <w:t>Sugere</w:t>
      </w:r>
      <w:proofErr w:type="spellEnd"/>
      <w:r w:rsidRPr="00D02C73">
        <w:rPr>
          <w:lang w:val="en-US"/>
        </w:rPr>
        <w:t>-</w:t>
      </w:r>
      <w:proofErr w:type="spellStart"/>
      <w:r w:rsidRPr="00D02C73">
        <w:rPr>
          <w:lang w:val="en-US"/>
        </w:rPr>
        <w:t>se a</w:t>
      </w:r>
      <w:proofErr w:type="spellEnd"/>
      <w:r w:rsidRPr="00D02C73">
        <w:rPr>
          <w:lang w:val="en-US"/>
        </w:rPr>
        <w:t xml:space="preserve"> </w:t>
      </w:r>
      <w:proofErr w:type="spellStart"/>
      <w:r w:rsidRPr="00D02C73">
        <w:rPr>
          <w:lang w:val="en-US"/>
        </w:rPr>
        <w:t>leitura</w:t>
      </w:r>
      <w:proofErr w:type="spellEnd"/>
      <w:r w:rsidRPr="00D02C73">
        <w:rPr>
          <w:lang w:val="en-US"/>
        </w:rPr>
        <w:t xml:space="preserve"> do </w:t>
      </w:r>
      <w:proofErr w:type="spellStart"/>
      <w:r w:rsidRPr="00D02C73">
        <w:rPr>
          <w:lang w:val="en-US"/>
        </w:rPr>
        <w:t>documento</w:t>
      </w:r>
      <w:proofErr w:type="spellEnd"/>
      <w:r w:rsidRPr="00D02C73">
        <w:rPr>
          <w:lang w:val="en-US"/>
        </w:rPr>
        <w:t xml:space="preserve"> </w:t>
      </w:r>
      <w:r>
        <w:rPr>
          <w:lang w:val="en-US"/>
        </w:rPr>
        <w:t>“</w:t>
      </w:r>
      <w:r w:rsidRPr="00D02C73">
        <w:rPr>
          <w:lang w:val="en-US"/>
        </w:rPr>
        <w:t>Global Climate Action: High Level Champions’ reflections on the way forward</w:t>
      </w:r>
      <w:r>
        <w:rPr>
          <w:lang w:val="en-US"/>
        </w:rPr>
        <w:t xml:space="preserve">”,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anexo</w:t>
      </w:r>
      <w:proofErr w:type="spellEnd"/>
      <w:r>
        <w:rPr>
          <w:lang w:val="en-US"/>
        </w:rPr>
        <w:t>.</w:t>
      </w:r>
    </w:p>
  </w:footnote>
  <w:footnote w:id="7">
    <w:p w:rsidR="00D02C73" w:rsidRDefault="00D02C7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F0354">
        <w:t>Sugere-se consulta dos documentos</w:t>
      </w:r>
      <w:r>
        <w:t xml:space="preserve"> </w:t>
      </w:r>
      <w:r w:rsidR="00BF0354">
        <w:t xml:space="preserve">-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da Agência Portuguesa do Ambiente</w:t>
      </w:r>
      <w:r w:rsidR="00BF0354">
        <w:t xml:space="preserve">, </w:t>
      </w:r>
      <w:r w:rsidR="00BF0354" w:rsidRPr="00BF0354">
        <w:t>Portugal_II_BiennialReport_2016_Convencao</w:t>
      </w:r>
      <w:r w:rsidR="00BF0354">
        <w:t xml:space="preserve"> e </w:t>
      </w:r>
      <w:proofErr w:type="spellStart"/>
      <w:r w:rsidR="00BF0354" w:rsidRPr="00BF0354">
        <w:t>The</w:t>
      </w:r>
      <w:proofErr w:type="spellEnd"/>
      <w:r w:rsidR="00BF0354" w:rsidRPr="00BF0354">
        <w:t xml:space="preserve"> </w:t>
      </w:r>
      <w:proofErr w:type="spellStart"/>
      <w:r w:rsidR="00BF0354" w:rsidRPr="00BF0354">
        <w:t>Climate</w:t>
      </w:r>
      <w:proofErr w:type="spellEnd"/>
      <w:r w:rsidR="00BF0354" w:rsidRPr="00BF0354">
        <w:t xml:space="preserve"> </w:t>
      </w:r>
      <w:proofErr w:type="spellStart"/>
      <w:r w:rsidR="00BF0354" w:rsidRPr="00BF0354">
        <w:t>Change</w:t>
      </w:r>
      <w:proofErr w:type="spellEnd"/>
      <w:r w:rsidR="00BF0354" w:rsidRPr="00BF0354">
        <w:t xml:space="preserve"> Performance </w:t>
      </w:r>
      <w:proofErr w:type="spellStart"/>
      <w:r w:rsidR="00BF0354" w:rsidRPr="00BF0354">
        <w:t>Index</w:t>
      </w:r>
      <w:proofErr w:type="spellEnd"/>
      <w:r w:rsidR="00BF0354" w:rsidRPr="00BF0354">
        <w:t xml:space="preserve"> 2016</w:t>
      </w:r>
      <w:r w:rsidR="00BF0354">
        <w:t>, em anexo.</w:t>
      </w:r>
    </w:p>
  </w:footnote>
  <w:footnote w:id="8">
    <w:p w:rsidR="00B35799" w:rsidRDefault="00B35799">
      <w:pPr>
        <w:pStyle w:val="Textodenotaderodap"/>
      </w:pPr>
      <w:r>
        <w:rPr>
          <w:rStyle w:val="Refdenotaderodap"/>
        </w:rPr>
        <w:footnoteRef/>
      </w:r>
      <w:r>
        <w:t xml:space="preserve"> O </w:t>
      </w:r>
      <w:proofErr w:type="spellStart"/>
      <w:r>
        <w:t>QEPiC</w:t>
      </w:r>
      <w:proofErr w:type="spellEnd"/>
      <w:r>
        <w:t xml:space="preserve"> e pacote legislativo associado constam </w:t>
      </w:r>
      <w:r w:rsidRPr="00B35799">
        <w:t>do anexo I à Resolução do Conselho de Ministros n.º 56/2015</w:t>
      </w:r>
      <w:r>
        <w:t xml:space="preserve">, publicada no </w:t>
      </w:r>
      <w:r w:rsidRPr="00B35799">
        <w:t>Diário da</w:t>
      </w:r>
      <w:r>
        <w:t xml:space="preserve"> República, 1.ª série, n.º 147, de </w:t>
      </w:r>
      <w:r w:rsidRPr="00B35799">
        <w:t>30 de julho de 2015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806" w:rsidRPr="0064456F" w:rsidRDefault="008C1806" w:rsidP="0029403A">
    <w:pPr>
      <w:jc w:val="center"/>
      <w:rPr>
        <w:sz w:val="8"/>
      </w:rPr>
    </w:pPr>
    <w:r w:rsidRPr="0064456F">
      <w:object w:dxaOrig="814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42.75pt" o:ole="">
          <v:imagedata r:id="rId1" o:title=""/>
        </v:shape>
        <o:OLEObject Type="Embed" ProgID="Word.Picture.8" ShapeID="_x0000_i1025" DrawAspect="Content" ObjectID="_1540304986" r:id="rId2"/>
      </w:object>
    </w:r>
  </w:p>
  <w:p w:rsidR="008C1806" w:rsidRPr="00814B92" w:rsidRDefault="008C1806" w:rsidP="0029403A">
    <w:pPr>
      <w:jc w:val="center"/>
    </w:pPr>
    <w:r w:rsidRPr="00814B92">
      <w:t>ASSEMBLEIA DA REPÚBLICA</w:t>
    </w:r>
  </w:p>
  <w:p w:rsidR="00097966" w:rsidRDefault="008C1806" w:rsidP="0029403A">
    <w:pPr>
      <w:pStyle w:val="Corpodetexto"/>
      <w:jc w:val="center"/>
      <w:rPr>
        <w:b/>
        <w:sz w:val="22"/>
        <w:szCs w:val="22"/>
      </w:rPr>
    </w:pPr>
    <w:r w:rsidRPr="00814B92">
      <w:rPr>
        <w:b/>
        <w:sz w:val="22"/>
        <w:szCs w:val="22"/>
      </w:rPr>
      <w:t>COMISSÃO DE A</w:t>
    </w:r>
    <w:r w:rsidR="00F178B1">
      <w:rPr>
        <w:b/>
        <w:sz w:val="22"/>
        <w:szCs w:val="22"/>
      </w:rPr>
      <w:t>MBIENTE, ORDENAMENTO DO TERRITORIO, DESCENTRALIZACAO, PODER LOCAL E HABITACAO</w:t>
    </w:r>
  </w:p>
  <w:p w:rsidR="007055B6" w:rsidRPr="00587E63" w:rsidRDefault="007055B6" w:rsidP="0029403A">
    <w:pPr>
      <w:pStyle w:val="Corpodetexto"/>
      <w:jc w:val="center"/>
      <w:rPr>
        <w:b/>
        <w:sz w:val="22"/>
        <w:szCs w:val="22"/>
      </w:rPr>
    </w:pPr>
    <w:r w:rsidRPr="00A95CF5">
      <w:rPr>
        <w:rFonts w:asciiTheme="majorHAnsi" w:hAnsiTheme="majorHAnsi"/>
        <w:b/>
        <w:bCs/>
        <w:sz w:val="22"/>
        <w:szCs w:val="22"/>
      </w:rPr>
      <w:t>22ª Conferência das Partes da Convenção-Quadro das Nações Unidas para as Alterações Climáticas (“Convenção”)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12BC"/>
    <w:multiLevelType w:val="singleLevel"/>
    <w:tmpl w:val="6BF2A01A"/>
    <w:name w:val="NumPar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" w15:restartNumberingAfterBreak="0">
    <w:nsid w:val="3DB7691B"/>
    <w:multiLevelType w:val="hybridMultilevel"/>
    <w:tmpl w:val="FAEA7E72"/>
    <w:lvl w:ilvl="0" w:tplc="8D8EEE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274"/>
    <w:multiLevelType w:val="hybridMultilevel"/>
    <w:tmpl w:val="B84A9A8A"/>
    <w:lvl w:ilvl="0" w:tplc="0D4ED412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B1AA1"/>
    <w:multiLevelType w:val="hybridMultilevel"/>
    <w:tmpl w:val="A1D8753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F2BD5"/>
    <w:multiLevelType w:val="hybridMultilevel"/>
    <w:tmpl w:val="98EE4F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B666F"/>
    <w:multiLevelType w:val="hybridMultilevel"/>
    <w:tmpl w:val="02D868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47D25"/>
    <w:multiLevelType w:val="hybridMultilevel"/>
    <w:tmpl w:val="616CE21C"/>
    <w:lvl w:ilvl="0" w:tplc="D116E53C">
      <w:start w:val="1"/>
      <w:numFmt w:val="lowerLetter"/>
      <w:lvlText w:val="%1)"/>
      <w:lvlJc w:val="left"/>
      <w:pPr>
        <w:ind w:left="1080" w:hanging="720"/>
      </w:pPr>
      <w:rPr>
        <w:rFonts w:asciiTheme="majorHAnsi" w:eastAsia="Times New Roman" w:hAnsiTheme="majorHAnsi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2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3A"/>
    <w:rsid w:val="00002565"/>
    <w:rsid w:val="0000562F"/>
    <w:rsid w:val="000072C6"/>
    <w:rsid w:val="00007304"/>
    <w:rsid w:val="00010E0F"/>
    <w:rsid w:val="000135C3"/>
    <w:rsid w:val="000165AD"/>
    <w:rsid w:val="00021C82"/>
    <w:rsid w:val="00035294"/>
    <w:rsid w:val="00056BA2"/>
    <w:rsid w:val="00060AF3"/>
    <w:rsid w:val="0006245F"/>
    <w:rsid w:val="000634ED"/>
    <w:rsid w:val="00063A6B"/>
    <w:rsid w:val="00065D37"/>
    <w:rsid w:val="00083140"/>
    <w:rsid w:val="000842D8"/>
    <w:rsid w:val="00085097"/>
    <w:rsid w:val="00087ABF"/>
    <w:rsid w:val="00092E29"/>
    <w:rsid w:val="00097859"/>
    <w:rsid w:val="00097966"/>
    <w:rsid w:val="000A0417"/>
    <w:rsid w:val="000B25F2"/>
    <w:rsid w:val="000C4CD9"/>
    <w:rsid w:val="000D6829"/>
    <w:rsid w:val="000E1E4A"/>
    <w:rsid w:val="000E2495"/>
    <w:rsid w:val="000E7244"/>
    <w:rsid w:val="000F75E1"/>
    <w:rsid w:val="001056BC"/>
    <w:rsid w:val="00112C09"/>
    <w:rsid w:val="00133292"/>
    <w:rsid w:val="00133CBD"/>
    <w:rsid w:val="00134D5E"/>
    <w:rsid w:val="00152504"/>
    <w:rsid w:val="00154C5B"/>
    <w:rsid w:val="00156A2E"/>
    <w:rsid w:val="001573BE"/>
    <w:rsid w:val="00157C0C"/>
    <w:rsid w:val="00162612"/>
    <w:rsid w:val="001805EB"/>
    <w:rsid w:val="00190809"/>
    <w:rsid w:val="001909F9"/>
    <w:rsid w:val="0019542B"/>
    <w:rsid w:val="00195564"/>
    <w:rsid w:val="001A6DC8"/>
    <w:rsid w:val="001D67D0"/>
    <w:rsid w:val="001E2331"/>
    <w:rsid w:val="001E6246"/>
    <w:rsid w:val="001F29BF"/>
    <w:rsid w:val="00201C3D"/>
    <w:rsid w:val="00213D32"/>
    <w:rsid w:val="00225554"/>
    <w:rsid w:val="00252683"/>
    <w:rsid w:val="002531C6"/>
    <w:rsid w:val="0026011C"/>
    <w:rsid w:val="00262DF0"/>
    <w:rsid w:val="0027481C"/>
    <w:rsid w:val="00276D86"/>
    <w:rsid w:val="0029403A"/>
    <w:rsid w:val="002C007C"/>
    <w:rsid w:val="002C0587"/>
    <w:rsid w:val="002C7012"/>
    <w:rsid w:val="002D4F40"/>
    <w:rsid w:val="002E48B1"/>
    <w:rsid w:val="002E4BE9"/>
    <w:rsid w:val="002E7404"/>
    <w:rsid w:val="002F395A"/>
    <w:rsid w:val="0030798C"/>
    <w:rsid w:val="00313FC1"/>
    <w:rsid w:val="0031619C"/>
    <w:rsid w:val="00320D3A"/>
    <w:rsid w:val="0033114A"/>
    <w:rsid w:val="00332C97"/>
    <w:rsid w:val="00342597"/>
    <w:rsid w:val="00350529"/>
    <w:rsid w:val="00367844"/>
    <w:rsid w:val="00374547"/>
    <w:rsid w:val="00380655"/>
    <w:rsid w:val="0039795C"/>
    <w:rsid w:val="003A09CF"/>
    <w:rsid w:val="003A33A0"/>
    <w:rsid w:val="003A6475"/>
    <w:rsid w:val="003A7CB3"/>
    <w:rsid w:val="003B00B2"/>
    <w:rsid w:val="003B1A22"/>
    <w:rsid w:val="003C3C27"/>
    <w:rsid w:val="003C3CC8"/>
    <w:rsid w:val="003E21B0"/>
    <w:rsid w:val="003F08FF"/>
    <w:rsid w:val="004066B5"/>
    <w:rsid w:val="004236BE"/>
    <w:rsid w:val="004644EF"/>
    <w:rsid w:val="00464AFC"/>
    <w:rsid w:val="0048752D"/>
    <w:rsid w:val="004A2276"/>
    <w:rsid w:val="004A2E2C"/>
    <w:rsid w:val="004B4FD1"/>
    <w:rsid w:val="004E1265"/>
    <w:rsid w:val="004F286B"/>
    <w:rsid w:val="004F4D34"/>
    <w:rsid w:val="005064E8"/>
    <w:rsid w:val="00530EFF"/>
    <w:rsid w:val="005425C7"/>
    <w:rsid w:val="00545217"/>
    <w:rsid w:val="005531F5"/>
    <w:rsid w:val="005532C7"/>
    <w:rsid w:val="00557536"/>
    <w:rsid w:val="00574E9F"/>
    <w:rsid w:val="005A4221"/>
    <w:rsid w:val="005B00C8"/>
    <w:rsid w:val="005B71E2"/>
    <w:rsid w:val="005C5891"/>
    <w:rsid w:val="005D4E9F"/>
    <w:rsid w:val="00605FFF"/>
    <w:rsid w:val="00617A26"/>
    <w:rsid w:val="00617D3D"/>
    <w:rsid w:val="00630276"/>
    <w:rsid w:val="00634482"/>
    <w:rsid w:val="00634F85"/>
    <w:rsid w:val="00645B61"/>
    <w:rsid w:val="0065215E"/>
    <w:rsid w:val="00652CA1"/>
    <w:rsid w:val="00661C1D"/>
    <w:rsid w:val="00674CE0"/>
    <w:rsid w:val="00675599"/>
    <w:rsid w:val="00680455"/>
    <w:rsid w:val="00685033"/>
    <w:rsid w:val="006851D4"/>
    <w:rsid w:val="006D3B78"/>
    <w:rsid w:val="006E7ECD"/>
    <w:rsid w:val="007055B6"/>
    <w:rsid w:val="00707BD9"/>
    <w:rsid w:val="00744A18"/>
    <w:rsid w:val="007569F2"/>
    <w:rsid w:val="00757BAB"/>
    <w:rsid w:val="007601DE"/>
    <w:rsid w:val="0076042F"/>
    <w:rsid w:val="00760A66"/>
    <w:rsid w:val="0076264C"/>
    <w:rsid w:val="00764420"/>
    <w:rsid w:val="0076744F"/>
    <w:rsid w:val="007702F2"/>
    <w:rsid w:val="007807C8"/>
    <w:rsid w:val="007819BD"/>
    <w:rsid w:val="00784BFD"/>
    <w:rsid w:val="007912A9"/>
    <w:rsid w:val="007A12FF"/>
    <w:rsid w:val="007A56A4"/>
    <w:rsid w:val="007D23A3"/>
    <w:rsid w:val="007D3ADD"/>
    <w:rsid w:val="007D7571"/>
    <w:rsid w:val="007E5BD9"/>
    <w:rsid w:val="007F2BA6"/>
    <w:rsid w:val="007F460F"/>
    <w:rsid w:val="0080171E"/>
    <w:rsid w:val="00810F5A"/>
    <w:rsid w:val="008147D5"/>
    <w:rsid w:val="00814DC5"/>
    <w:rsid w:val="0081504C"/>
    <w:rsid w:val="008208BD"/>
    <w:rsid w:val="0082507D"/>
    <w:rsid w:val="00825895"/>
    <w:rsid w:val="008262CC"/>
    <w:rsid w:val="008338A6"/>
    <w:rsid w:val="008627D1"/>
    <w:rsid w:val="00865C84"/>
    <w:rsid w:val="0086780A"/>
    <w:rsid w:val="00884039"/>
    <w:rsid w:val="008B27D5"/>
    <w:rsid w:val="008C1806"/>
    <w:rsid w:val="008C76B9"/>
    <w:rsid w:val="008D05B5"/>
    <w:rsid w:val="008D4B71"/>
    <w:rsid w:val="008E0FFC"/>
    <w:rsid w:val="00913628"/>
    <w:rsid w:val="009167BE"/>
    <w:rsid w:val="00926088"/>
    <w:rsid w:val="00927770"/>
    <w:rsid w:val="0093389A"/>
    <w:rsid w:val="00944EA9"/>
    <w:rsid w:val="00953273"/>
    <w:rsid w:val="00953602"/>
    <w:rsid w:val="00955CEA"/>
    <w:rsid w:val="00955FC8"/>
    <w:rsid w:val="00996B52"/>
    <w:rsid w:val="009B5D83"/>
    <w:rsid w:val="009C5114"/>
    <w:rsid w:val="009C7F0F"/>
    <w:rsid w:val="009F5C7F"/>
    <w:rsid w:val="00A04FE6"/>
    <w:rsid w:val="00A0778B"/>
    <w:rsid w:val="00A118FF"/>
    <w:rsid w:val="00A32476"/>
    <w:rsid w:val="00A33BA3"/>
    <w:rsid w:val="00A51693"/>
    <w:rsid w:val="00A52777"/>
    <w:rsid w:val="00A575B8"/>
    <w:rsid w:val="00A610EF"/>
    <w:rsid w:val="00A65D53"/>
    <w:rsid w:val="00A67F78"/>
    <w:rsid w:val="00A802E6"/>
    <w:rsid w:val="00A829F5"/>
    <w:rsid w:val="00A95CF5"/>
    <w:rsid w:val="00AA3585"/>
    <w:rsid w:val="00AA5A6C"/>
    <w:rsid w:val="00AA7AF5"/>
    <w:rsid w:val="00AB6943"/>
    <w:rsid w:val="00AE41FB"/>
    <w:rsid w:val="00B129B9"/>
    <w:rsid w:val="00B13442"/>
    <w:rsid w:val="00B154AB"/>
    <w:rsid w:val="00B1742E"/>
    <w:rsid w:val="00B31512"/>
    <w:rsid w:val="00B35799"/>
    <w:rsid w:val="00B37FEA"/>
    <w:rsid w:val="00B5459C"/>
    <w:rsid w:val="00B63D89"/>
    <w:rsid w:val="00B6774B"/>
    <w:rsid w:val="00B70834"/>
    <w:rsid w:val="00B74CC3"/>
    <w:rsid w:val="00B821DE"/>
    <w:rsid w:val="00B85642"/>
    <w:rsid w:val="00BA34A0"/>
    <w:rsid w:val="00BB20B5"/>
    <w:rsid w:val="00BB777C"/>
    <w:rsid w:val="00BB7A88"/>
    <w:rsid w:val="00BE53B2"/>
    <w:rsid w:val="00BF0354"/>
    <w:rsid w:val="00BF5B86"/>
    <w:rsid w:val="00C047BA"/>
    <w:rsid w:val="00C1448D"/>
    <w:rsid w:val="00C15BC1"/>
    <w:rsid w:val="00C26DC0"/>
    <w:rsid w:val="00C426D4"/>
    <w:rsid w:val="00C42CE7"/>
    <w:rsid w:val="00C56FBF"/>
    <w:rsid w:val="00C5758C"/>
    <w:rsid w:val="00C620FC"/>
    <w:rsid w:val="00C63711"/>
    <w:rsid w:val="00C674E4"/>
    <w:rsid w:val="00C71686"/>
    <w:rsid w:val="00C71F63"/>
    <w:rsid w:val="00C7230D"/>
    <w:rsid w:val="00C728D1"/>
    <w:rsid w:val="00CA3F7C"/>
    <w:rsid w:val="00CC435F"/>
    <w:rsid w:val="00CD0144"/>
    <w:rsid w:val="00CF79B0"/>
    <w:rsid w:val="00D02C73"/>
    <w:rsid w:val="00D06492"/>
    <w:rsid w:val="00D07F4B"/>
    <w:rsid w:val="00D16BAC"/>
    <w:rsid w:val="00D21FA4"/>
    <w:rsid w:val="00D23563"/>
    <w:rsid w:val="00D27C29"/>
    <w:rsid w:val="00D344CA"/>
    <w:rsid w:val="00D5405F"/>
    <w:rsid w:val="00D54B38"/>
    <w:rsid w:val="00D60327"/>
    <w:rsid w:val="00D70D42"/>
    <w:rsid w:val="00D80612"/>
    <w:rsid w:val="00D9330A"/>
    <w:rsid w:val="00D95788"/>
    <w:rsid w:val="00D97CBE"/>
    <w:rsid w:val="00DA0091"/>
    <w:rsid w:val="00DA5501"/>
    <w:rsid w:val="00DA64DC"/>
    <w:rsid w:val="00DB395B"/>
    <w:rsid w:val="00DC28AA"/>
    <w:rsid w:val="00DC45CA"/>
    <w:rsid w:val="00DD06E5"/>
    <w:rsid w:val="00DE7EFA"/>
    <w:rsid w:val="00E02BE2"/>
    <w:rsid w:val="00E065B6"/>
    <w:rsid w:val="00E14719"/>
    <w:rsid w:val="00E24AFE"/>
    <w:rsid w:val="00E33169"/>
    <w:rsid w:val="00E4213C"/>
    <w:rsid w:val="00E42E00"/>
    <w:rsid w:val="00E44FD1"/>
    <w:rsid w:val="00E55CF8"/>
    <w:rsid w:val="00E6015E"/>
    <w:rsid w:val="00E64146"/>
    <w:rsid w:val="00E65D24"/>
    <w:rsid w:val="00E67682"/>
    <w:rsid w:val="00E808CF"/>
    <w:rsid w:val="00E87695"/>
    <w:rsid w:val="00E954FD"/>
    <w:rsid w:val="00EB4261"/>
    <w:rsid w:val="00EC153E"/>
    <w:rsid w:val="00EC39B6"/>
    <w:rsid w:val="00EC6D84"/>
    <w:rsid w:val="00ED42C0"/>
    <w:rsid w:val="00EE0E2F"/>
    <w:rsid w:val="00F10A45"/>
    <w:rsid w:val="00F178B1"/>
    <w:rsid w:val="00F20081"/>
    <w:rsid w:val="00F20947"/>
    <w:rsid w:val="00F3532C"/>
    <w:rsid w:val="00F36314"/>
    <w:rsid w:val="00F42CE9"/>
    <w:rsid w:val="00F479E5"/>
    <w:rsid w:val="00F6136A"/>
    <w:rsid w:val="00F63A0E"/>
    <w:rsid w:val="00F64347"/>
    <w:rsid w:val="00F7231E"/>
    <w:rsid w:val="00F7673C"/>
    <w:rsid w:val="00F86E02"/>
    <w:rsid w:val="00FB44F5"/>
    <w:rsid w:val="00FC0D80"/>
    <w:rsid w:val="00FD32DF"/>
    <w:rsid w:val="00FE1407"/>
    <w:rsid w:val="00FE28CF"/>
    <w:rsid w:val="00FE29A7"/>
    <w:rsid w:val="00FF4F7A"/>
    <w:rsid w:val="00FF5BC2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B0E10A-C195-40A3-891E-687547B1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0634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D97C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913628"/>
    <w:pPr>
      <w:keepNext/>
      <w:spacing w:line="360" w:lineRule="auto"/>
      <w:jc w:val="center"/>
      <w:outlineLvl w:val="3"/>
    </w:pPr>
    <w:rPr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ISerie">
    <w:name w:val="IISerie"/>
    <w:basedOn w:val="Normal"/>
    <w:uiPriority w:val="99"/>
    <w:rsid w:val="0029403A"/>
    <w:pPr>
      <w:tabs>
        <w:tab w:val="left" w:pos="709"/>
      </w:tabs>
      <w:spacing w:line="360" w:lineRule="auto"/>
      <w:ind w:firstLine="709"/>
      <w:jc w:val="both"/>
    </w:pPr>
    <w:rPr>
      <w:sz w:val="28"/>
      <w:szCs w:val="20"/>
    </w:rPr>
  </w:style>
  <w:style w:type="paragraph" w:styleId="Cabealho">
    <w:name w:val="header"/>
    <w:basedOn w:val="Normal"/>
    <w:link w:val="CabealhoCarter"/>
    <w:unhideWhenUsed/>
    <w:rsid w:val="0029403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29403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29403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403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uiPriority w:val="99"/>
    <w:rsid w:val="0029403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29403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9403A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F29B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29BF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5D4E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54C5B"/>
    <w:pPr>
      <w:spacing w:before="167"/>
      <w:ind w:left="167" w:right="167"/>
      <w:jc w:val="both"/>
    </w:pPr>
    <w:rPr>
      <w:rFonts w:ascii="Verdana" w:hAnsi="Verdana"/>
      <w:color w:val="000000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913628"/>
    <w:rPr>
      <w:rFonts w:ascii="Times New Roman" w:eastAsia="Times New Roman" w:hAnsi="Times New Roman" w:cs="Times New Roman"/>
      <w:sz w:val="28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13628"/>
    <w:rPr>
      <w:rFonts w:ascii="Arial" w:eastAsia="Times New Roman" w:hAnsi="Arial" w:cs="Arial"/>
      <w:sz w:val="24"/>
      <w:szCs w:val="24"/>
      <w:lang w:eastAsia="pt-PT"/>
    </w:rPr>
  </w:style>
  <w:style w:type="paragraph" w:styleId="Corpodetexto2">
    <w:name w:val="Body Text 2"/>
    <w:basedOn w:val="Normal"/>
    <w:link w:val="Corpodetexto2Carter"/>
    <w:semiHidden/>
    <w:unhideWhenUsed/>
    <w:rsid w:val="00913628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arter"/>
    <w:qFormat/>
    <w:rsid w:val="00913628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b/>
      <w:szCs w:val="20"/>
    </w:rPr>
  </w:style>
  <w:style w:type="character" w:customStyle="1" w:styleId="TtuloCarter">
    <w:name w:val="Título Caráter"/>
    <w:basedOn w:val="Tipodeletrapredefinidodopargrafo"/>
    <w:link w:val="Ttulo"/>
    <w:rsid w:val="00913628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highlight">
    <w:name w:val="highlight"/>
    <w:basedOn w:val="Tipodeletrapredefinidodopargrafo"/>
    <w:rsid w:val="00913628"/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91362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913628"/>
    <w:rPr>
      <w:sz w:val="20"/>
      <w:szCs w:val="20"/>
    </w:rPr>
  </w:style>
  <w:style w:type="paragraph" w:customStyle="1" w:styleId="WW-NormalWeb">
    <w:name w:val="WW-Normal (Web)"/>
    <w:basedOn w:val="Normal"/>
    <w:rsid w:val="00913628"/>
    <w:pPr>
      <w:suppressAutoHyphens/>
      <w:overflowPunct w:val="0"/>
      <w:autoSpaceDE w:val="0"/>
      <w:spacing w:before="100" w:after="100"/>
    </w:pPr>
    <w:rPr>
      <w:szCs w:val="20"/>
      <w:lang w:eastAsia="ar-SA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913628"/>
    <w:rPr>
      <w:rFonts w:ascii="Calibri" w:eastAsia="Calibri" w:hAnsi="Calibri" w:cs="Times New Roman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913628"/>
    <w:pPr>
      <w:spacing w:after="120"/>
      <w:ind w:left="283"/>
    </w:pPr>
    <w:rPr>
      <w:rFonts w:ascii="Calibri" w:eastAsia="Calibri" w:hAnsi="Calibri"/>
      <w:sz w:val="22"/>
      <w:szCs w:val="22"/>
    </w:rPr>
  </w:style>
  <w:style w:type="paragraph" w:customStyle="1" w:styleId="descricao">
    <w:name w:val="descricao"/>
    <w:basedOn w:val="Normal"/>
    <w:rsid w:val="00913628"/>
    <w:pPr>
      <w:jc w:val="center"/>
    </w:pPr>
    <w:rPr>
      <w:rFonts w:ascii="Arial" w:hAnsi="Arial"/>
      <w:b/>
      <w:sz w:val="20"/>
      <w:szCs w:val="20"/>
    </w:rPr>
  </w:style>
  <w:style w:type="paragraph" w:customStyle="1" w:styleId="justificacao">
    <w:name w:val="justificacao"/>
    <w:basedOn w:val="Normal"/>
    <w:rsid w:val="00913628"/>
    <w:pPr>
      <w:jc w:val="center"/>
    </w:pPr>
    <w:rPr>
      <w:rFonts w:ascii="Arial" w:hAnsi="Arial"/>
      <w:sz w:val="20"/>
      <w:szCs w:val="20"/>
    </w:rPr>
  </w:style>
  <w:style w:type="paragraph" w:customStyle="1" w:styleId="Text1">
    <w:name w:val="Text 1"/>
    <w:basedOn w:val="Normal"/>
    <w:rsid w:val="00EC153E"/>
    <w:pPr>
      <w:spacing w:before="120" w:after="120" w:line="360" w:lineRule="auto"/>
      <w:ind w:left="850"/>
    </w:pPr>
    <w:rPr>
      <w:snapToGrid w:val="0"/>
      <w:lang w:val="en-GB" w:eastAsia="fr-BE"/>
    </w:rPr>
  </w:style>
  <w:style w:type="paragraph" w:customStyle="1" w:styleId="Point0">
    <w:name w:val="Point 0"/>
    <w:basedOn w:val="Normal"/>
    <w:rsid w:val="00EC153E"/>
    <w:pPr>
      <w:spacing w:before="120" w:after="120" w:line="360" w:lineRule="auto"/>
      <w:ind w:left="850" w:hanging="850"/>
    </w:pPr>
    <w:rPr>
      <w:snapToGrid w:val="0"/>
      <w:lang w:val="en-GB" w:eastAsia="fr-BE"/>
    </w:rPr>
  </w:style>
  <w:style w:type="paragraph" w:customStyle="1" w:styleId="Point1">
    <w:name w:val="Point 1"/>
    <w:basedOn w:val="Normal"/>
    <w:rsid w:val="00EC153E"/>
    <w:pPr>
      <w:spacing w:before="120" w:after="120" w:line="360" w:lineRule="auto"/>
      <w:ind w:left="1417" w:hanging="567"/>
    </w:pPr>
    <w:rPr>
      <w:snapToGrid w:val="0"/>
      <w:lang w:val="en-GB" w:eastAsia="fr-BE"/>
    </w:rPr>
  </w:style>
  <w:style w:type="paragraph" w:customStyle="1" w:styleId="PointDouble1">
    <w:name w:val="PointDouble 1"/>
    <w:basedOn w:val="Normal"/>
    <w:rsid w:val="00EC153E"/>
    <w:pPr>
      <w:tabs>
        <w:tab w:val="left" w:pos="1417"/>
      </w:tabs>
      <w:spacing w:before="120" w:after="120" w:line="360" w:lineRule="auto"/>
      <w:ind w:left="1984" w:hanging="1134"/>
    </w:pPr>
    <w:rPr>
      <w:snapToGrid w:val="0"/>
      <w:lang w:val="en-GB" w:eastAsia="fr-BE"/>
    </w:rPr>
  </w:style>
  <w:style w:type="paragraph" w:customStyle="1" w:styleId="Tiret3">
    <w:name w:val="Tiret 3"/>
    <w:basedOn w:val="Normal"/>
    <w:rsid w:val="00EC153E"/>
    <w:pPr>
      <w:numPr>
        <w:numId w:val="1"/>
      </w:numPr>
      <w:spacing w:before="120" w:after="120" w:line="360" w:lineRule="auto"/>
    </w:pPr>
    <w:rPr>
      <w:snapToGrid w:val="0"/>
      <w:lang w:val="en-GB" w:eastAsia="fr-BE"/>
    </w:rPr>
  </w:style>
  <w:style w:type="character" w:customStyle="1" w:styleId="linkstram1">
    <w:name w:val="linkstram1"/>
    <w:rsid w:val="008627D1"/>
    <w:rPr>
      <w:rFonts w:ascii="Tahoma" w:hAnsi="Tahoma" w:cs="Tahoma" w:hint="default"/>
      <w:color w:val="1682CA"/>
    </w:rPr>
  </w:style>
  <w:style w:type="character" w:customStyle="1" w:styleId="textotram1">
    <w:name w:val="textotram1"/>
    <w:basedOn w:val="Tipodeletrapredefinidodopargrafo"/>
    <w:rsid w:val="00133292"/>
    <w:rPr>
      <w:rFonts w:ascii="Tahoma" w:hAnsi="Tahoma" w:cs="Tahoma" w:hint="default"/>
      <w:color w:val="4D4D4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78B1"/>
    <w:rPr>
      <w:color w:val="800080" w:themeColor="followedHyperlink"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0634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PT"/>
    </w:rPr>
  </w:style>
  <w:style w:type="character" w:styleId="Forte">
    <w:name w:val="Strong"/>
    <w:basedOn w:val="Tipodeletrapredefinidodopargrafo"/>
    <w:uiPriority w:val="22"/>
    <w:qFormat/>
    <w:rsid w:val="000634ED"/>
    <w:rPr>
      <w:b/>
      <w:bCs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D97C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PT"/>
    </w:rPr>
  </w:style>
  <w:style w:type="character" w:styleId="nfase">
    <w:name w:val="Emphasis"/>
    <w:basedOn w:val="Tipodeletrapredefinidodopargrafo"/>
    <w:qFormat/>
    <w:rsid w:val="00D97CBE"/>
    <w:rPr>
      <w:i/>
      <w:iCs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A7AF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A7AF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A7AF5"/>
    <w:rPr>
      <w:vertAlign w:val="superscript"/>
    </w:rPr>
  </w:style>
  <w:style w:type="character" w:styleId="Refdenotaderodap">
    <w:name w:val="footnote reference"/>
    <w:basedOn w:val="Tipodeletrapredefinidodopargrafo"/>
    <w:semiHidden/>
    <w:unhideWhenUsed/>
    <w:rsid w:val="00E65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7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3E3E3"/>
                        <w:left w:val="single" w:sz="6" w:space="15" w:color="E3E3E3"/>
                        <w:bottom w:val="single" w:sz="6" w:space="15" w:color="E3E3E3"/>
                        <w:right w:val="single" w:sz="6" w:space="15" w:color="E3E3E3"/>
                      </w:divBdr>
                      <w:divsChild>
                        <w:div w:id="3184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3344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8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9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5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5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3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5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3E3E3"/>
                        <w:left w:val="single" w:sz="6" w:space="15" w:color="E3E3E3"/>
                        <w:bottom w:val="single" w:sz="6" w:space="15" w:color="E3E3E3"/>
                        <w:right w:val="single" w:sz="6" w:space="15" w:color="E3E3E3"/>
                      </w:divBdr>
                      <w:divsChild>
                        <w:div w:id="2206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28295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3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4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33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2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88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4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7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28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5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3E3E3"/>
                        <w:left w:val="single" w:sz="6" w:space="15" w:color="E3E3E3"/>
                        <w:bottom w:val="single" w:sz="6" w:space="15" w:color="E3E3E3"/>
                        <w:right w:val="single" w:sz="6" w:space="15" w:color="E3E3E3"/>
                      </w:divBdr>
                      <w:divsChild>
                        <w:div w:id="7888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25358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3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3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2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0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0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49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06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parlamento.pt/webutils/docs/doc.pdf?path=6148523063446f764c3246795a5868774d546f334e7a67774c336470626e526c654852766331396863484a76646d466b62334d764d6a41784e69395351564a664d546b33583046664d6a41784e6935775a47593d&amp;fich=RAR_197_A_2016.pdf&amp;Inline=true" TargetMode="External"/><Relationship Id="rId13" Type="http://schemas.openxmlformats.org/officeDocument/2006/relationships/hyperlink" Target="http://www.parlamento.pt/ActividadeParlamentar/Paginas/DetalheEvento.aspx?BID=103249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lamento.pt/ActividadeParlamentar/Paginas/DetalheIniciativa.aspx?BID=4060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seur.portugal2020.pt/pt/eixos-de-investimento/apresenta&#231;&#227;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rtugal2020.pt/Portal2020/Media/Default/Docs/1.%20AP_Portugal%202020_28julho.pdf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dre.pt/application/file/69906414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fccc.int/files/meetings/marrakech_nov_2016/application/pdf/cmp12_20160711.pdf" TargetMode="External"/><Relationship Id="rId2" Type="http://schemas.openxmlformats.org/officeDocument/2006/relationships/hyperlink" Target="http://unfccc.int/files/meetings/marrakech_nov_2016/application/pdf/cop22_20160711.pdf" TargetMode="External"/><Relationship Id="rId1" Type="http://schemas.openxmlformats.org/officeDocument/2006/relationships/hyperlink" Target="http://unfccc.int/paris_agreement/items/9444.php" TargetMode="External"/><Relationship Id="rId5" Type="http://schemas.openxmlformats.org/officeDocument/2006/relationships/hyperlink" Target="http://newsroom.unfccc.int/cop22marrakechinformationhub/cop-22cmp-12cma-1-information-hub-side-events-and-exhibits/" TargetMode="External"/><Relationship Id="rId4" Type="http://schemas.openxmlformats.org/officeDocument/2006/relationships/hyperlink" Target="http://unfccc.int/resource/docs/2016/cma1/eng/0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9F4FE6831E254439CF2F2958F70140B" ma:contentTypeVersion="" ma:contentTypeDescription="Documento Actividade Órgão" ma:contentTypeScope="" ma:versionID="b9a5e8729f5090bee79f4f104b21e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d7d06c55dd59e25b142c9ab841e8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2ª</Sessao>
    <SiglaOrgao xmlns="http://schemas.microsoft.com/sharepoint/v3">CAOTDPLH</SiglaOrgao>
    <PublicarInternet xmlns="http://schemas.microsoft.com/sharepoint/v3">true</PublicarInternet>
    <DesignacaoTipoActividade xmlns="http://schemas.microsoft.com/sharepoint/v3">Deslocação</DesignacaoTipoActividade>
    <TipoDocumento xmlns="http://schemas.microsoft.com/sharepoint/v3">Documentação Entregue</TipoDocumento>
    <Legislatura xmlns="http://schemas.microsoft.com/sharepoint/v3">XIII</Legislatura>
    <DataDocumento xmlns="http://schemas.microsoft.com/sharepoint/v3">2016-11-18T00:00:00+00:00</DataDocumento>
    <IDActividade xmlns="http://schemas.microsoft.com/sharepoint/v3">103397</IDActividade>
    <NRActividade xmlns="http://schemas.microsoft.com/sharepoint/v3" xsi:nil="true"/>
    <NROrgao xmlns="http://schemas.microsoft.com/sharepoint/v3">11</NROrgao>
    <IDOrgao xmlns="http://schemas.microsoft.com/sharepoint/v3">4534</IDOrgao>
    <TipoActividade xmlns="http://schemas.microsoft.com/sharepoint/v3">DES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A6662283-FE8C-466D-9585-057748E6F808}"/>
</file>

<file path=customXml/itemProps2.xml><?xml version="1.0" encoding="utf-8"?>
<ds:datastoreItem xmlns:ds="http://schemas.openxmlformats.org/officeDocument/2006/customXml" ds:itemID="{209CAC6B-2F5B-4EF6-B7E9-BA4EF4944C2A}"/>
</file>

<file path=customXml/itemProps3.xml><?xml version="1.0" encoding="utf-8"?>
<ds:datastoreItem xmlns:ds="http://schemas.openxmlformats.org/officeDocument/2006/customXml" ds:itemID="{90005FE9-E341-44E9-B32B-9468638BD4FD}"/>
</file>

<file path=customXml/itemProps4.xml><?xml version="1.0" encoding="utf-8"?>
<ds:datastoreItem xmlns:ds="http://schemas.openxmlformats.org/officeDocument/2006/customXml" ds:itemID="{BE83D8F4-C1DC-4358-B75E-457627F3B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1094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</dc:title>
  <dc:creator>fcoalves</dc:creator>
  <cp:lastModifiedBy>Inês Menezes da Silva</cp:lastModifiedBy>
  <cp:revision>23</cp:revision>
  <cp:lastPrinted>2016-11-10T13:45:00Z</cp:lastPrinted>
  <dcterms:created xsi:type="dcterms:W3CDTF">2016-11-07T10:22:00Z</dcterms:created>
  <dcterms:modified xsi:type="dcterms:W3CDTF">2016-11-10T17:43:00Z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0x010100C10113FBA3D64B0AA218F384A09D759B0049F4FE6831E254439CF2F2958F70140B</vt:lpwstr>
  </property>
  <property fmtid="{D5CDD505-2E9C-101B-9397-08002B2CF9AE}" pid="3" name="Order">
    <vt:r8>6000</vt:r8>
  </property>
</Properties>
</file>